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1C816">
      <w:pPr>
        <w:pStyle w:val="2"/>
        <w:numPr>
          <w:ilvl w:val="0"/>
          <w:numId w:val="0"/>
        </w:numPr>
        <w:spacing w:before="120" w:after="240"/>
        <w:rPr>
          <w:rFonts w:hint="default" w:hAnsi="仿宋_GB2312" w:eastAsia="仿宋_GB2312" w:cs="仿宋_GB2312"/>
          <w:color w:val="auto"/>
          <w:szCs w:val="28"/>
          <w:lang w:val="en-US" w:eastAsia="zh-CN"/>
        </w:rPr>
      </w:pPr>
      <w:r>
        <w:rPr>
          <w:rFonts w:hint="eastAsia" w:hAnsi="仿宋_GB2312" w:cs="仿宋_GB2312"/>
          <w:color w:val="auto"/>
          <w:szCs w:val="28"/>
          <w:lang w:val="en-US" w:eastAsia="zh-CN"/>
        </w:rPr>
        <w:t>万宁市中医院财务咨询服务项目需求书</w:t>
      </w:r>
    </w:p>
    <w:p w14:paraId="591BD903">
      <w:pPr>
        <w:pStyle w:val="3"/>
        <w:spacing w:before="120"/>
        <w:ind w:left="0"/>
        <w:rPr>
          <w:rFonts w:ascii="仿宋_GB2312" w:hAnsi="仿宋_GB2312" w:cs="仿宋_GB2312"/>
          <w:color w:val="auto"/>
          <w:szCs w:val="28"/>
        </w:rPr>
      </w:pPr>
      <w:bookmarkStart w:id="0" w:name="_Toc30266"/>
      <w:bookmarkStart w:id="1" w:name="_Toc1203"/>
      <w:r>
        <w:rPr>
          <w:rFonts w:hint="eastAsia" w:ascii="仿宋_GB2312" w:hAnsi="仿宋_GB2312" w:cs="仿宋_GB2312"/>
          <w:color w:val="auto"/>
          <w:szCs w:val="28"/>
          <w:lang w:val="en-US" w:eastAsia="zh-CN"/>
        </w:rPr>
        <w:t>一、</w:t>
      </w:r>
      <w:r>
        <w:rPr>
          <w:rFonts w:hint="eastAsia" w:ascii="仿宋_GB2312" w:hAnsi="仿宋_GB2312" w:cs="仿宋_GB2312"/>
          <w:color w:val="auto"/>
          <w:szCs w:val="28"/>
        </w:rPr>
        <w:t>项目概况</w:t>
      </w:r>
      <w:bookmarkEnd w:id="0"/>
      <w:bookmarkEnd w:id="1"/>
    </w:p>
    <w:p w14:paraId="31ACCD04">
      <w:pPr>
        <w:adjustRightInd w:val="0"/>
        <w:snapToGrid w:val="0"/>
        <w:ind w:left="1960" w:leftChars="200" w:hanging="1400" w:hangingChars="500"/>
        <w:rPr>
          <w:rFonts w:hint="default" w:hAnsi="仿宋_GB2312" w:eastAsia="仿宋_GB2312" w:cs="仿宋_GB2312"/>
          <w:color w:val="auto"/>
          <w:szCs w:val="28"/>
          <w:u w:val="single"/>
          <w:lang w:val="en-US" w:eastAsia="zh-CN"/>
        </w:rPr>
      </w:pPr>
      <w:bookmarkStart w:id="2" w:name="_Toc30744"/>
      <w:bookmarkStart w:id="3" w:name="_Toc24385"/>
      <w:r>
        <w:rPr>
          <w:rFonts w:hint="eastAsia" w:hAnsi="仿宋_GB2312" w:cs="仿宋_GB2312"/>
          <w:color w:val="auto"/>
          <w:szCs w:val="28"/>
          <w:lang w:val="en-US" w:eastAsia="zh-CN"/>
        </w:rPr>
        <w:t>项目名称：</w:t>
      </w:r>
      <w:r>
        <w:rPr>
          <w:rFonts w:hint="eastAsia" w:hAnsi="仿宋_GB2312" w:cs="仿宋_GB2312"/>
          <w:color w:val="auto"/>
          <w:szCs w:val="28"/>
          <w:u w:val="single"/>
          <w:lang w:val="en-US" w:eastAsia="zh-CN"/>
        </w:rPr>
        <w:t>万宁市中医院财务咨询服务项目</w:t>
      </w:r>
    </w:p>
    <w:p w14:paraId="2F0C3497">
      <w:pPr>
        <w:adjustRightInd w:val="0"/>
        <w:snapToGrid w:val="0"/>
        <w:rPr>
          <w:rFonts w:hint="default" w:hAnsi="仿宋_GB2312" w:eastAsia="仿宋_GB2312" w:cs="仿宋_GB2312"/>
          <w:color w:val="auto"/>
          <w:szCs w:val="28"/>
          <w:u w:val="single"/>
          <w:lang w:val="en-US" w:eastAsia="zh-CN"/>
        </w:rPr>
      </w:pPr>
      <w:r>
        <w:rPr>
          <w:rFonts w:hint="eastAsia" w:hAnsi="仿宋_GB2312" w:cs="仿宋_GB2312"/>
          <w:color w:val="auto"/>
          <w:szCs w:val="28"/>
          <w:lang w:val="en-US" w:eastAsia="zh-CN"/>
        </w:rPr>
        <w:t>项目</w:t>
      </w:r>
      <w:r>
        <w:rPr>
          <w:rFonts w:hint="eastAsia" w:hAnsi="仿宋_GB2312" w:cs="仿宋_GB2312"/>
          <w:color w:val="auto"/>
          <w:szCs w:val="28"/>
        </w:rPr>
        <w:t>内容：</w:t>
      </w:r>
      <w:r>
        <w:rPr>
          <w:rFonts w:hint="eastAsia" w:hAnsi="仿宋_GB2312" w:cs="仿宋_GB2312"/>
          <w:color w:val="auto"/>
          <w:szCs w:val="28"/>
          <w:u w:val="single"/>
          <w:lang w:val="en-US" w:eastAsia="zh-CN"/>
        </w:rPr>
        <w:t>财务咨询服务</w:t>
      </w:r>
      <w:bookmarkStart w:id="4" w:name="_GoBack"/>
      <w:bookmarkEnd w:id="4"/>
    </w:p>
    <w:p w14:paraId="485B6E09">
      <w:pPr>
        <w:snapToGrid w:val="0"/>
        <w:ind w:firstLine="560"/>
        <w:rPr>
          <w:rFonts w:hint="default" w:hAnsi="仿宋_GB2312" w:eastAsia="仿宋_GB2312" w:cs="仿宋_GB2312"/>
          <w:color w:val="auto"/>
          <w:szCs w:val="28"/>
          <w:highlight w:val="none"/>
          <w:u w:val="single"/>
          <w:lang w:val="en-US" w:eastAsia="zh-CN"/>
        </w:rPr>
      </w:pPr>
      <w:r>
        <w:rPr>
          <w:rFonts w:hint="eastAsia" w:hAnsi="仿宋_GB2312" w:cs="仿宋_GB2312"/>
          <w:color w:val="auto"/>
          <w:szCs w:val="28"/>
          <w:lang w:val="en-US" w:eastAsia="zh-CN"/>
        </w:rPr>
        <w:t>项目</w:t>
      </w:r>
      <w:r>
        <w:rPr>
          <w:rFonts w:hint="eastAsia" w:hAnsi="仿宋_GB2312" w:cs="仿宋_GB2312"/>
          <w:color w:val="auto"/>
          <w:szCs w:val="28"/>
          <w:highlight w:val="none"/>
        </w:rPr>
        <w:t>地址：</w:t>
      </w:r>
      <w:r>
        <w:rPr>
          <w:rFonts w:hint="eastAsia" w:hAnsi="仿宋_GB2312" w:cs="仿宋_GB2312"/>
          <w:color w:val="auto"/>
          <w:szCs w:val="28"/>
          <w:highlight w:val="none"/>
          <w:u w:val="single"/>
          <w:lang w:val="en-US" w:eastAsia="zh-CN"/>
        </w:rPr>
        <w:t>万宁市中医院</w:t>
      </w:r>
    </w:p>
    <w:p w14:paraId="43AAA3BE">
      <w:pPr>
        <w:snapToGrid w:val="0"/>
        <w:ind w:left="1960" w:leftChars="200" w:hanging="1400" w:hangingChars="500"/>
        <w:rPr>
          <w:rStyle w:val="13"/>
          <w:rFonts w:hint="default" w:hAnsi="仿宋_GB2312" w:cs="仿宋_GB2312"/>
          <w:b w:val="0"/>
          <w:bCs w:val="0"/>
          <w:color w:val="auto"/>
          <w:highlight w:val="none"/>
          <w:u w:val="single"/>
          <w:lang w:val="en-US" w:eastAsia="zh-CN"/>
        </w:rPr>
      </w:pPr>
      <w:r>
        <w:rPr>
          <w:rStyle w:val="13"/>
          <w:rFonts w:hint="eastAsia" w:ascii="仿宋_GB2312" w:hAnsi="仿宋_GB2312" w:cs="仿宋_GB2312"/>
          <w:b w:val="0"/>
          <w:bCs w:val="0"/>
          <w:color w:val="auto"/>
          <w:highlight w:val="none"/>
          <w:lang w:val="en-US" w:eastAsia="zh-CN"/>
        </w:rPr>
        <w:t>项目金额：</w:t>
      </w:r>
      <w:r>
        <w:rPr>
          <w:rStyle w:val="13"/>
          <w:rFonts w:hint="eastAsia" w:hAnsi="仿宋_GB2312" w:cs="仿宋_GB2312"/>
          <w:b w:val="0"/>
          <w:bCs w:val="0"/>
          <w:color w:val="auto"/>
          <w:highlight w:val="none"/>
          <w:u w:val="single"/>
          <w:lang w:val="en-US" w:eastAsia="zh-CN"/>
        </w:rPr>
        <w:t>139600</w:t>
      </w:r>
      <w:r>
        <w:rPr>
          <w:rStyle w:val="13"/>
          <w:rFonts w:hint="eastAsia" w:ascii="仿宋_GB2312" w:hAnsi="仿宋_GB2312" w:cs="仿宋_GB2312"/>
          <w:b w:val="0"/>
          <w:bCs w:val="0"/>
          <w:color w:val="auto"/>
          <w:highlight w:val="none"/>
          <w:u w:val="single"/>
          <w:lang w:val="en-US" w:eastAsia="zh-CN"/>
        </w:rPr>
        <w:t>.00</w:t>
      </w:r>
      <w:r>
        <w:rPr>
          <w:rStyle w:val="13"/>
          <w:rFonts w:hint="eastAsia" w:hAnsi="仿宋_GB2312" w:cs="仿宋_GB2312"/>
          <w:b w:val="0"/>
          <w:bCs w:val="0"/>
          <w:color w:val="auto"/>
          <w:highlight w:val="none"/>
          <w:u w:val="single"/>
          <w:lang w:val="en-US" w:eastAsia="zh-CN"/>
        </w:rPr>
        <w:t>元</w:t>
      </w:r>
    </w:p>
    <w:bookmarkEnd w:id="2"/>
    <w:bookmarkEnd w:id="3"/>
    <w:p w14:paraId="085B386C">
      <w:pPr>
        <w:ind w:left="0" w:leftChars="0" w:firstLine="0" w:firstLineChars="0"/>
        <w:rPr>
          <w:rFonts w:hint="eastAsia"/>
          <w:b/>
          <w:bCs/>
        </w:rPr>
      </w:pPr>
      <w:r>
        <w:rPr>
          <w:rFonts w:hint="eastAsia"/>
          <w:b/>
          <w:bCs/>
          <w:highlight w:val="none"/>
          <w:lang w:val="en-US" w:eastAsia="zh-CN"/>
        </w:rPr>
        <w:t>二</w:t>
      </w:r>
      <w:r>
        <w:rPr>
          <w:rFonts w:hint="eastAsia"/>
          <w:b/>
          <w:bCs/>
          <w:highlight w:val="none"/>
        </w:rPr>
        <w:t>、服务要求 (以下服务内</w:t>
      </w:r>
      <w:r>
        <w:rPr>
          <w:rFonts w:hint="eastAsia"/>
          <w:b/>
          <w:bCs/>
        </w:rPr>
        <w:t>容产生的费用应包含本次报价中)</w:t>
      </w:r>
    </w:p>
    <w:p w14:paraId="5FAA78C2">
      <w:pPr>
        <w:ind w:firstLine="560" w:firstLineChars="200"/>
        <w:rPr>
          <w:rFonts w:hint="eastAsia"/>
          <w:lang w:val="en-US" w:eastAsia="zh-CN"/>
        </w:rPr>
      </w:pPr>
      <w:r>
        <w:rPr>
          <w:rFonts w:hint="eastAsia"/>
          <w:lang w:val="en-US" w:eastAsia="zh-CN"/>
        </w:rPr>
        <w:t>（一）日常财务咨询。即就我院日常财务工作中的有关问题提供咨询服务。</w:t>
      </w:r>
    </w:p>
    <w:p w14:paraId="63CFAC45">
      <w:pPr>
        <w:ind w:firstLine="560" w:firstLineChars="200"/>
        <w:rPr>
          <w:rFonts w:hint="eastAsia"/>
          <w:lang w:val="en-US" w:eastAsia="zh-CN"/>
        </w:rPr>
      </w:pPr>
      <w:r>
        <w:rPr>
          <w:rFonts w:hint="eastAsia"/>
          <w:lang w:val="en-US" w:eastAsia="zh-CN"/>
        </w:rPr>
        <w:t>（二）建立健全制度，组织制定医院财务管理制度、会计核算制度、内部控制制度及经济管理制度等。</w:t>
      </w:r>
    </w:p>
    <w:p w14:paraId="1A48F17C">
      <w:pPr>
        <w:ind w:firstLine="560" w:firstLineChars="200"/>
        <w:rPr>
          <w:rFonts w:hint="eastAsia"/>
          <w:lang w:val="en-US" w:eastAsia="zh-CN"/>
        </w:rPr>
      </w:pPr>
      <w:r>
        <w:rPr>
          <w:rFonts w:hint="eastAsia"/>
          <w:lang w:val="en-US" w:eastAsia="zh-CN"/>
        </w:rPr>
        <w:t>（三）进行财务管理，包括全面预算管理、筹资管理、资本管理、资金管理、成本控制等。</w:t>
      </w:r>
    </w:p>
    <w:p w14:paraId="5569BE79">
      <w:pPr>
        <w:ind w:firstLine="560" w:firstLineChars="200"/>
        <w:rPr>
          <w:rFonts w:hint="eastAsia"/>
          <w:lang w:val="en-US" w:eastAsia="zh-CN"/>
        </w:rPr>
      </w:pPr>
      <w:r>
        <w:rPr>
          <w:rFonts w:hint="eastAsia"/>
          <w:lang w:val="en-US" w:eastAsia="zh-CN"/>
        </w:rPr>
        <w:t>（四）组织编制和执行预算、财务收支计划、信贷计划，拟订资金筹措和使用方案，有效地使用资金。</w:t>
      </w:r>
    </w:p>
    <w:p w14:paraId="514B76E5">
      <w:pPr>
        <w:ind w:firstLine="560" w:firstLineChars="200"/>
        <w:rPr>
          <w:rFonts w:hint="eastAsia"/>
          <w:lang w:val="en-US" w:eastAsia="zh-CN"/>
        </w:rPr>
      </w:pPr>
      <w:r>
        <w:rPr>
          <w:rFonts w:hint="eastAsia"/>
          <w:lang w:val="en-US" w:eastAsia="zh-CN"/>
        </w:rPr>
        <w:t>（五）强化经济分析，利用财务会计资料进行分析，研究并督促医院有关部门依法依规增收节支、提高效益、防范风险。</w:t>
      </w:r>
    </w:p>
    <w:p w14:paraId="7C3295F6">
      <w:pPr>
        <w:ind w:firstLine="560" w:firstLineChars="200"/>
        <w:rPr>
          <w:rFonts w:hint="eastAsia"/>
          <w:lang w:val="en-US" w:eastAsia="zh-CN"/>
        </w:rPr>
      </w:pPr>
      <w:r>
        <w:rPr>
          <w:rFonts w:hint="eastAsia"/>
          <w:lang w:val="en-US" w:eastAsia="zh-CN"/>
        </w:rPr>
        <w:t>（六）承办医院交办的其他工作。</w:t>
      </w:r>
    </w:p>
    <w:p w14:paraId="3E384045">
      <w:pPr>
        <w:ind w:firstLine="560" w:firstLineChars="200"/>
        <w:rPr>
          <w:rFonts w:hint="eastAsia"/>
          <w:lang w:val="en-US" w:eastAsia="zh-CN"/>
        </w:rPr>
      </w:pPr>
      <w:r>
        <w:rPr>
          <w:rFonts w:hint="eastAsia"/>
          <w:lang w:val="en-US" w:eastAsia="zh-CN"/>
        </w:rPr>
        <w:t>（七）服务期限约定为1年，指派最少1名人员每周到医院现场工作一天。工作日9:00至18:00有人线上解答咨询，一般应在4小时（紧急事务应在2小时）内作出正确回复。</w:t>
      </w:r>
    </w:p>
    <w:p w14:paraId="31E19295">
      <w:pPr>
        <w:ind w:firstLine="560" w:firstLineChars="200"/>
        <w:rPr>
          <w:rFonts w:hint="eastAsia"/>
        </w:rPr>
      </w:pPr>
      <w:r>
        <w:rPr>
          <w:rFonts w:hint="eastAsia"/>
          <w:lang w:val="en-US" w:eastAsia="zh-CN"/>
        </w:rPr>
        <w:t>(八) 费用结算：根据具体签订合同执行。</w:t>
      </w:r>
      <w:r>
        <w:rPr>
          <w:rFonts w:hint="eastAsia"/>
        </w:rPr>
        <w:t xml:space="preserve">                                                      </w:t>
      </w:r>
    </w:p>
    <w:p w14:paraId="4869F636">
      <w:pPr>
        <w:ind w:firstLine="560" w:firstLineChars="200"/>
        <w:rPr>
          <w:rFonts w:hint="eastAsia"/>
        </w:rPr>
      </w:pPr>
      <w:r>
        <w:rPr>
          <w:rFonts w:hint="eastAsia"/>
        </w:rPr>
        <w:t>(</w:t>
      </w:r>
      <w:r>
        <w:rPr>
          <w:rFonts w:hint="eastAsia"/>
          <w:lang w:val="en-US" w:eastAsia="zh-CN"/>
        </w:rPr>
        <w:t>九</w:t>
      </w:r>
      <w:r>
        <w:rPr>
          <w:rFonts w:hint="eastAsia"/>
        </w:rPr>
        <w:t>) 其他要求</w:t>
      </w:r>
    </w:p>
    <w:p w14:paraId="0F11C554">
      <w:pPr>
        <w:ind w:firstLine="560" w:firstLineChars="200"/>
        <w:rPr>
          <w:rFonts w:hint="eastAsia"/>
        </w:rPr>
      </w:pPr>
      <w:r>
        <w:rPr>
          <w:rFonts w:hint="eastAsia"/>
        </w:rPr>
        <w:t>1.一方严重违约造成合同无法履行时，守约方有权解除合同，违约方应按合同未履行价款部分的20%支付违约金。</w:t>
      </w:r>
    </w:p>
    <w:p w14:paraId="2E5E1CE1">
      <w:pPr>
        <w:ind w:firstLine="560" w:firstLineChars="200"/>
        <w:rPr>
          <w:rFonts w:hint="eastAsia"/>
        </w:rPr>
      </w:pPr>
      <w:r>
        <w:rPr>
          <w:rFonts w:hint="eastAsia"/>
        </w:rPr>
        <w:t>2.</w:t>
      </w:r>
      <w:r>
        <w:rPr>
          <w:rFonts w:hint="eastAsia"/>
          <w:lang w:val="en-US" w:eastAsia="zh-CN"/>
        </w:rPr>
        <w:t>供应商应在我国现行法律、政策允许的范围内，遵循诚实、勤勉、尽职的原则，按合同约定为采购方提供咨询服务</w:t>
      </w:r>
      <w:r>
        <w:rPr>
          <w:rFonts w:hint="eastAsia"/>
        </w:rPr>
        <w:t xml:space="preserve">                                                                             </w:t>
      </w:r>
    </w:p>
    <w:p w14:paraId="6B4D6F67">
      <w:pPr>
        <w:ind w:firstLine="560" w:firstLineChars="200"/>
        <w:rPr>
          <w:rFonts w:hint="eastAsia"/>
          <w:lang w:val="en-US" w:eastAsia="zh-CN"/>
        </w:rPr>
      </w:pPr>
      <w:r>
        <w:rPr>
          <w:rFonts w:hint="eastAsia"/>
          <w:lang w:val="en-US" w:eastAsia="zh-CN"/>
        </w:rPr>
        <w:t>3</w:t>
      </w:r>
      <w:r>
        <w:rPr>
          <w:rFonts w:hint="eastAsia"/>
        </w:rPr>
        <w:t>.</w:t>
      </w:r>
      <w:r>
        <w:rPr>
          <w:rFonts w:hint="eastAsia"/>
          <w:lang w:val="en-US" w:eastAsia="zh-CN"/>
        </w:rPr>
        <w:t>供应商应承担保密义务，未经采购方许可，供应商不得向第三方提供（披露）采购方提交供应商使用的、供应商通过其他渠道无法获得且尚未进入公共信息领域的材料与文件。</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TE4YTg1YWI4N2QxNjE5N2RmNGUxNWIzYjhjZjUifQ=="/>
    <w:docVar w:name="KSO_WPS_MARK_KEY" w:val="62e354cc-84a2-4629-a32d-668af8618033"/>
  </w:docVars>
  <w:rsids>
    <w:rsidRoot w:val="00172A27"/>
    <w:rsid w:val="00580766"/>
    <w:rsid w:val="01062126"/>
    <w:rsid w:val="04DF442F"/>
    <w:rsid w:val="074A0292"/>
    <w:rsid w:val="0A1E180C"/>
    <w:rsid w:val="0A754B61"/>
    <w:rsid w:val="0E8D42EA"/>
    <w:rsid w:val="0FC11D19"/>
    <w:rsid w:val="14721AF5"/>
    <w:rsid w:val="1872113F"/>
    <w:rsid w:val="29867F09"/>
    <w:rsid w:val="29B820EC"/>
    <w:rsid w:val="29D17162"/>
    <w:rsid w:val="2DE22CBA"/>
    <w:rsid w:val="33BD246C"/>
    <w:rsid w:val="37475B88"/>
    <w:rsid w:val="37826CF3"/>
    <w:rsid w:val="3CC91696"/>
    <w:rsid w:val="43FB22ED"/>
    <w:rsid w:val="48E80B05"/>
    <w:rsid w:val="4AF35571"/>
    <w:rsid w:val="4E94547F"/>
    <w:rsid w:val="4EA97AEA"/>
    <w:rsid w:val="524C64CE"/>
    <w:rsid w:val="57D45607"/>
    <w:rsid w:val="593F034C"/>
    <w:rsid w:val="5A8C7395"/>
    <w:rsid w:val="5D4F4254"/>
    <w:rsid w:val="661D55E4"/>
    <w:rsid w:val="699137E5"/>
    <w:rsid w:val="6E0F70C8"/>
    <w:rsid w:val="72AB1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仿宋_GB2312" w:hAnsi="Calibri" w:eastAsia="仿宋_GB2312" w:cs="Times New Roman"/>
      <w:kern w:val="2"/>
      <w:sz w:val="28"/>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firstLineChars="0"/>
      <w:jc w:val="center"/>
      <w:outlineLvl w:val="0"/>
    </w:pPr>
    <w:rPr>
      <w:b/>
      <w:bCs/>
      <w:kern w:val="44"/>
      <w:sz w:val="36"/>
      <w:szCs w:val="44"/>
    </w:rPr>
  </w:style>
  <w:style w:type="paragraph" w:styleId="3">
    <w:name w:val="heading 2"/>
    <w:basedOn w:val="1"/>
    <w:next w:val="1"/>
    <w:unhideWhenUsed/>
    <w:qFormat/>
    <w:uiPriority w:val="0"/>
    <w:pPr>
      <w:keepNext/>
      <w:keepLines/>
      <w:spacing w:beforeLines="50"/>
      <w:ind w:left="3256" w:firstLine="0" w:firstLineChars="0"/>
      <w:outlineLvl w:val="1"/>
    </w:pPr>
    <w:rPr>
      <w:rFonts w:ascii="Calibri Light" w:hAnsi="Calibri Light"/>
      <w:b/>
      <w:bCs/>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0"/>
    <w:rPr>
      <w:rFonts w:ascii="Arial" w:hAnsi="Arial" w:eastAsia="黑体"/>
      <w:sz w:val="20"/>
    </w:rPr>
  </w:style>
  <w:style w:type="paragraph" w:styleId="5">
    <w:name w:val="Body Text"/>
    <w:basedOn w:val="1"/>
    <w:qFormat/>
    <w:uiPriority w:val="0"/>
    <w:pPr>
      <w:spacing w:line="480" w:lineRule="auto"/>
      <w:jc w:val="center"/>
    </w:pPr>
    <w:rPr>
      <w:rFonts w:ascii="宋体" w:hAnsi="Times New Roman" w:eastAsia="宋体" w:cs="Times New Roman"/>
      <w:b/>
      <w:sz w:val="72"/>
      <w:szCs w:val="20"/>
    </w:rPr>
  </w:style>
  <w:style w:type="paragraph" w:styleId="6">
    <w:name w:val="header"/>
    <w:basedOn w:val="1"/>
    <w:next w:val="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99"/>
    <w:pPr>
      <w:spacing w:after="120"/>
      <w:ind w:left="420" w:leftChars="200"/>
    </w:pPr>
    <w:rPr>
      <w:sz w:val="16"/>
      <w:szCs w:val="16"/>
    </w:rPr>
  </w:style>
  <w:style w:type="paragraph" w:styleId="8">
    <w:name w:val="Body Text 2"/>
    <w:basedOn w:val="1"/>
    <w:qFormat/>
    <w:uiPriority w:val="0"/>
    <w:pPr>
      <w:adjustRightInd w:val="0"/>
      <w:spacing w:after="120" w:line="480" w:lineRule="auto"/>
      <w:ind w:firstLine="0" w:firstLineChars="0"/>
      <w:textAlignment w:val="baseline"/>
    </w:pPr>
    <w:rPr>
      <w:rFonts w:ascii="宋体" w:hAnsi="Times New Roman" w:eastAsia="仿宋"/>
      <w:kern w:val="0"/>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_Style 3"/>
    <w:basedOn w:val="1"/>
    <w:next w:val="7"/>
    <w:qFormat/>
    <w:uiPriority w:val="0"/>
    <w:pPr>
      <w:ind w:left="720"/>
      <w:contextualSpacing/>
    </w:pPr>
    <w:rPr>
      <w:rFonts w:ascii="Calibri" w:hAnsi="Calibri"/>
      <w:sz w:val="24"/>
      <w:szCs w:val="24"/>
    </w:rPr>
  </w:style>
  <w:style w:type="character" w:customStyle="1" w:styleId="13">
    <w:name w:val="标题 2 Char"/>
    <w:basedOn w:val="11"/>
    <w:qFormat/>
    <w:uiPriority w:val="0"/>
    <w:rPr>
      <w:rFonts w:ascii="Calibri Light" w:hAnsi="Calibri Light" w:eastAsia="仿宋_GB2312" w:cs="Times New Roman"/>
      <w:b/>
      <w:bCs/>
      <w:sz w:val="28"/>
      <w:szCs w:val="32"/>
    </w:rPr>
  </w:style>
  <w:style w:type="paragraph" w:customStyle="1" w:styleId="14">
    <w:name w:val="Table Text"/>
    <w:basedOn w:val="1"/>
    <w:semiHidden/>
    <w:qFormat/>
    <w:uiPriority w:val="0"/>
    <w:rPr>
      <w:rFonts w:ascii="宋体" w:hAnsi="宋体" w:eastAsia="宋体" w:cs="宋体"/>
      <w:sz w:val="19"/>
      <w:szCs w:val="19"/>
      <w:lang w:val="en-US" w:eastAsia="en-US" w:bidi="ar-SA"/>
    </w:rPr>
  </w:style>
  <w:style w:type="character" w:customStyle="1" w:styleId="15">
    <w:name w:val="font01"/>
    <w:basedOn w:val="11"/>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607</Words>
  <Characters>627</Characters>
  <Lines>0</Lines>
  <Paragraphs>0</Paragraphs>
  <TotalTime>1</TotalTime>
  <ScaleCrop>false</ScaleCrop>
  <LinksUpToDate>false</LinksUpToDate>
  <CharactersWithSpaces>761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2023-11-01T07:35:00Z</dcterms:created>
  <dc:creator>滴滴答答</dc:creator>
  <cp:lastModifiedBy>清补凉加lu</cp:lastModifiedBy>
  <dcterms:modified xsi:type="dcterms:W3CDTF">2024-12-06T08:25:27Z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FB2FF4B6E16549B389D0240279DC6054_13</vt:lpwstr>
  </property>
</Properties>
</file>