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71319">
      <w:pPr>
        <w:spacing w:line="360" w:lineRule="auto"/>
        <w:jc w:val="center"/>
        <w:rPr>
          <w:rFonts w:hint="eastAsia" w:ascii="仿宋" w:hAnsi="仿宋" w:eastAsia="仿宋" w:cs="仿宋"/>
          <w:b/>
          <w:bCs/>
          <w:sz w:val="44"/>
          <w:szCs w:val="44"/>
          <w:lang w:eastAsia="zh-CN"/>
        </w:rPr>
      </w:pPr>
      <w:r>
        <w:rPr>
          <w:rFonts w:hint="eastAsia" w:ascii="仿宋" w:hAnsi="仿宋" w:eastAsia="仿宋" w:cs="仿宋"/>
          <w:b/>
          <w:bCs/>
          <w:sz w:val="40"/>
          <w:szCs w:val="40"/>
          <w:lang w:eastAsia="zh-CN"/>
        </w:rPr>
        <w:t>项目需求</w:t>
      </w:r>
    </w:p>
    <w:p w14:paraId="60E2E0A2">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1.1 项目概况</w:t>
      </w:r>
    </w:p>
    <w:p w14:paraId="3B4CFD55">
      <w:pPr>
        <w:spacing w:line="360" w:lineRule="auto"/>
        <w:rPr>
          <w:rFonts w:hint="eastAsia" w:ascii="仿宋" w:hAnsi="仿宋" w:eastAsia="仿宋" w:cs="仿宋"/>
          <w:sz w:val="32"/>
          <w:szCs w:val="32"/>
        </w:rPr>
      </w:pPr>
      <w:r>
        <w:rPr>
          <w:rFonts w:hint="eastAsia" w:ascii="仿宋" w:hAnsi="仿宋" w:eastAsia="仿宋" w:cs="仿宋"/>
          <w:sz w:val="32"/>
          <w:szCs w:val="32"/>
        </w:rPr>
        <w:t>服务内容：万宁市中医院供氧中心运营管理服务</w:t>
      </w:r>
    </w:p>
    <w:p w14:paraId="041791A5">
      <w:pPr>
        <w:spacing w:line="360" w:lineRule="auto"/>
        <w:rPr>
          <w:rFonts w:hint="eastAsia" w:ascii="仿宋" w:hAnsi="仿宋" w:eastAsia="仿宋" w:cs="仿宋"/>
          <w:sz w:val="32"/>
          <w:szCs w:val="32"/>
        </w:rPr>
      </w:pPr>
      <w:r>
        <w:rPr>
          <w:rFonts w:hint="eastAsia" w:ascii="仿宋" w:hAnsi="仿宋" w:eastAsia="仿宋" w:cs="仿宋"/>
          <w:sz w:val="32"/>
          <w:szCs w:val="32"/>
        </w:rPr>
        <w:t>服务地址：万宁市中医院</w:t>
      </w:r>
    </w:p>
    <w:p w14:paraId="1A6E6296">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1.2 服务内容</w:t>
      </w:r>
    </w:p>
    <w:p w14:paraId="194843FA">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供氧中心运营管理服务内容：万宁市中医院现有的医气设备的维护保养、汇流排运行管理、真空泵（水环式)运行管理、医疗空气供应源、医用气体管道系统及末端设施管理;</w:t>
      </w:r>
    </w:p>
    <w:p w14:paraId="69C052F8">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1.3 运维概述</w:t>
      </w:r>
    </w:p>
    <w:p w14:paraId="5F9609C6">
      <w:pPr>
        <w:spacing w:line="360" w:lineRule="auto"/>
        <w:rPr>
          <w:rFonts w:hint="eastAsia" w:ascii="仿宋" w:hAnsi="仿宋" w:eastAsia="仿宋" w:cs="仿宋"/>
          <w:sz w:val="32"/>
          <w:szCs w:val="32"/>
        </w:rPr>
      </w:pPr>
      <w:r>
        <w:rPr>
          <w:rFonts w:hint="eastAsia" w:ascii="仿宋" w:hAnsi="仿宋" w:eastAsia="仿宋" w:cs="仿宋"/>
          <w:sz w:val="32"/>
          <w:szCs w:val="32"/>
        </w:rPr>
        <w:t>1. 目的：规范供氧中心运营管理服务工作,确保医用气体系统正常运行。</w:t>
      </w:r>
    </w:p>
    <w:p w14:paraId="6ACA3589">
      <w:pPr>
        <w:spacing w:line="360" w:lineRule="auto"/>
        <w:rPr>
          <w:rFonts w:hint="eastAsia" w:ascii="仿宋" w:hAnsi="仿宋" w:eastAsia="仿宋" w:cs="仿宋"/>
          <w:sz w:val="32"/>
          <w:szCs w:val="32"/>
        </w:rPr>
      </w:pPr>
      <w:r>
        <w:rPr>
          <w:rFonts w:hint="eastAsia" w:ascii="仿宋" w:hAnsi="仿宋" w:eastAsia="仿宋" w:cs="仿宋"/>
          <w:sz w:val="32"/>
          <w:szCs w:val="32"/>
        </w:rPr>
        <w:t>2.适用范围：医用气体系统运行管理。</w:t>
      </w:r>
    </w:p>
    <w:p w14:paraId="4366D1B5">
      <w:pPr>
        <w:spacing w:line="360" w:lineRule="auto"/>
        <w:rPr>
          <w:rFonts w:hint="eastAsia" w:ascii="仿宋" w:hAnsi="仿宋" w:eastAsia="仿宋" w:cs="仿宋"/>
          <w:sz w:val="32"/>
          <w:szCs w:val="32"/>
        </w:rPr>
      </w:pPr>
      <w:r>
        <w:rPr>
          <w:rFonts w:hint="eastAsia" w:ascii="仿宋" w:hAnsi="仿宋" w:eastAsia="仿宋" w:cs="仿宋"/>
          <w:sz w:val="32"/>
          <w:szCs w:val="32"/>
        </w:rPr>
        <w:t>3.运维人数：</w:t>
      </w:r>
    </w:p>
    <w:p w14:paraId="7AC972C9">
      <w:pPr>
        <w:spacing w:line="360" w:lineRule="auto"/>
        <w:rPr>
          <w:rFonts w:hint="eastAsia" w:ascii="仿宋" w:hAnsi="仿宋" w:eastAsia="仿宋" w:cs="仿宋"/>
          <w:sz w:val="32"/>
          <w:szCs w:val="32"/>
          <w:lang w:eastAsia="zh-CN"/>
        </w:rPr>
      </w:pPr>
      <w:r>
        <w:rPr>
          <w:rFonts w:hint="eastAsia" w:ascii="仿宋" w:hAnsi="仿宋" w:eastAsia="仿宋" w:cs="仿宋"/>
          <w:sz w:val="32"/>
          <w:szCs w:val="32"/>
          <w:lang w:eastAsia="zh-CN"/>
        </w:rPr>
        <w:t>方案一：</w:t>
      </w:r>
      <w:r>
        <w:rPr>
          <w:rFonts w:hint="eastAsia" w:ascii="仿宋" w:hAnsi="仿宋" w:eastAsia="仿宋" w:cs="仿宋"/>
          <w:sz w:val="32"/>
          <w:szCs w:val="32"/>
        </w:rPr>
        <w:t>技术班长 2 人，普通值班技术员 3 人</w:t>
      </w:r>
      <w:r>
        <w:rPr>
          <w:rFonts w:hint="eastAsia" w:ascii="仿宋" w:hAnsi="仿宋" w:eastAsia="仿宋" w:cs="仿宋"/>
          <w:sz w:val="32"/>
          <w:szCs w:val="32"/>
          <w:lang w:eastAsia="zh-CN"/>
        </w:rPr>
        <w:t>；</w:t>
      </w:r>
    </w:p>
    <w:p w14:paraId="5316C787">
      <w:pPr>
        <w:spacing w:line="360" w:lineRule="auto"/>
        <w:rPr>
          <w:rFonts w:hint="eastAsia" w:ascii="仿宋" w:hAnsi="仿宋" w:eastAsia="仿宋" w:cs="仿宋"/>
          <w:sz w:val="32"/>
          <w:szCs w:val="32"/>
          <w:lang w:eastAsia="zh-CN"/>
        </w:rPr>
      </w:pPr>
      <w:r>
        <w:rPr>
          <w:rFonts w:hint="eastAsia" w:ascii="仿宋" w:hAnsi="仿宋" w:eastAsia="仿宋" w:cs="仿宋"/>
          <w:sz w:val="32"/>
          <w:szCs w:val="32"/>
          <w:lang w:eastAsia="zh-CN"/>
        </w:rPr>
        <w:t>方案二：有资格证书管理人员</w:t>
      </w:r>
      <w:r>
        <w:rPr>
          <w:rFonts w:hint="eastAsia" w:ascii="仿宋" w:hAnsi="仿宋" w:eastAsia="仿宋" w:cs="仿宋"/>
          <w:sz w:val="32"/>
          <w:szCs w:val="32"/>
          <w:lang w:val="en-US" w:eastAsia="zh-CN"/>
        </w:rPr>
        <w:t>1人</w:t>
      </w:r>
      <w:r>
        <w:rPr>
          <w:rFonts w:hint="eastAsia" w:ascii="仿宋" w:hAnsi="仿宋" w:eastAsia="仿宋" w:cs="仿宋"/>
          <w:sz w:val="32"/>
          <w:szCs w:val="32"/>
          <w:lang w:eastAsia="zh-CN"/>
        </w:rPr>
        <w:t>带领我院供氧中心2人工作。</w:t>
      </w:r>
    </w:p>
    <w:p w14:paraId="0138E72A">
      <w:pPr>
        <w:spacing w:line="360" w:lineRule="auto"/>
        <w:rPr>
          <w:rFonts w:hint="eastAsia" w:ascii="仿宋" w:hAnsi="仿宋" w:eastAsia="仿宋" w:cs="仿宋"/>
          <w:sz w:val="32"/>
          <w:szCs w:val="32"/>
        </w:rPr>
      </w:pPr>
      <w:r>
        <w:rPr>
          <w:rFonts w:hint="eastAsia" w:ascii="仿宋" w:hAnsi="仿宋" w:eastAsia="仿宋" w:cs="仿宋"/>
          <w:sz w:val="32"/>
          <w:szCs w:val="32"/>
        </w:rPr>
        <w:t>4.7*24 小时值班：在医院设置固定办公场所，根据接收到的故障信息，需在 10 分钟内到达现场处理。</w:t>
      </w:r>
    </w:p>
    <w:p w14:paraId="4A2375BB">
      <w:pPr>
        <w:spacing w:line="360" w:lineRule="auto"/>
        <w:rPr>
          <w:rFonts w:hint="eastAsia" w:ascii="仿宋" w:hAnsi="仿宋" w:eastAsia="仿宋" w:cs="仿宋"/>
          <w:sz w:val="32"/>
          <w:szCs w:val="32"/>
        </w:rPr>
      </w:pPr>
      <w:r>
        <w:rPr>
          <w:rFonts w:hint="eastAsia" w:ascii="仿宋" w:hAnsi="仿宋" w:eastAsia="仿宋" w:cs="仿宋"/>
          <w:sz w:val="32"/>
          <w:szCs w:val="32"/>
        </w:rPr>
        <w:t>5. 日常例行维护：根据日常维护作业计划，对设备进行例行操作（包括设 备清洁保养、例行巡检、检查等），并将巡检、检查结果记录到日常巡检报告中。</w:t>
      </w:r>
    </w:p>
    <w:p w14:paraId="71FACB7B">
      <w:pPr>
        <w:spacing w:line="360" w:lineRule="auto"/>
        <w:rPr>
          <w:rFonts w:hint="eastAsia" w:ascii="仿宋" w:hAnsi="仿宋" w:eastAsia="仿宋" w:cs="仿宋"/>
          <w:b/>
          <w:bCs/>
          <w:sz w:val="32"/>
          <w:szCs w:val="32"/>
        </w:rPr>
      </w:pPr>
      <w:r>
        <w:rPr>
          <w:rFonts w:hint="eastAsia" w:ascii="仿宋" w:hAnsi="仿宋" w:eastAsia="仿宋" w:cs="仿宋"/>
          <w:sz w:val="32"/>
          <w:szCs w:val="32"/>
        </w:rPr>
        <w:t>6.培训：根据客户需求，提供培训。要求不定期有培训。</w:t>
      </w:r>
    </w:p>
    <w:p w14:paraId="1B7DF6E0">
      <w:pPr>
        <w:spacing w:line="360" w:lineRule="auto"/>
        <w:rPr>
          <w:rFonts w:hint="eastAsia" w:ascii="仿宋" w:hAnsi="仿宋" w:eastAsia="仿宋" w:cs="仿宋"/>
          <w:sz w:val="32"/>
          <w:szCs w:val="32"/>
        </w:rPr>
      </w:pPr>
      <w:r>
        <w:rPr>
          <w:rFonts w:hint="eastAsia" w:ascii="仿宋" w:hAnsi="仿宋" w:eastAsia="仿宋" w:cs="仿宋"/>
          <w:b/>
          <w:bCs/>
          <w:sz w:val="32"/>
          <w:szCs w:val="32"/>
        </w:rPr>
        <w:t>1.3.2 汇流排运行管理</w:t>
      </w:r>
    </w:p>
    <w:p w14:paraId="1A65CECA">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根据医院医疗工作的需要，汇流排主要有氧气汇流排、笑气汇流排、 二氧化碳汇流排、氮气汇流排和医用混合气汇流排，其作用和供应范围不同，用量也不同,有的还具有一定的危险性。因此，合理制定每天对各汇流排的巡视检查次数，完善每次设备巡视检查的内容，可以及时发现汇流排 在使用过程中出现的问题并及时进行处理，以确保临床用气安全。</w:t>
      </w:r>
    </w:p>
    <w:p w14:paraId="363AD483">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（一） 汇流排运行</w:t>
      </w:r>
    </w:p>
    <w:p w14:paraId="2BD972B2">
      <w:pPr>
        <w:spacing w:line="360" w:lineRule="auto"/>
        <w:rPr>
          <w:rFonts w:hint="eastAsia" w:ascii="仿宋" w:hAnsi="仿宋" w:eastAsia="仿宋" w:cs="仿宋"/>
          <w:sz w:val="32"/>
          <w:szCs w:val="32"/>
        </w:rPr>
      </w:pPr>
      <w:r>
        <w:rPr>
          <w:rFonts w:hint="eastAsia" w:ascii="仿宋" w:hAnsi="仿宋" w:eastAsia="仿宋" w:cs="仿宋"/>
          <w:sz w:val="32"/>
          <w:szCs w:val="32"/>
        </w:rPr>
        <w:t>汇流排运行包括：</w:t>
      </w:r>
    </w:p>
    <w:p w14:paraId="06E03F38">
      <w:pPr>
        <w:spacing w:line="360" w:lineRule="auto"/>
        <w:rPr>
          <w:rFonts w:hint="eastAsia" w:ascii="仿宋" w:hAnsi="仿宋" w:eastAsia="仿宋" w:cs="仿宋"/>
          <w:sz w:val="32"/>
          <w:szCs w:val="32"/>
        </w:rPr>
      </w:pPr>
      <w:r>
        <w:rPr>
          <w:rFonts w:hint="eastAsia" w:ascii="仿宋" w:hAnsi="仿宋" w:eastAsia="仿宋" w:cs="仿宋"/>
          <w:sz w:val="32"/>
          <w:szCs w:val="32"/>
        </w:rPr>
        <w:t>1.制定各汇流排巡视流程，明确值班人员工作职责；</w:t>
      </w:r>
    </w:p>
    <w:p w14:paraId="7C972D26">
      <w:pPr>
        <w:spacing w:line="360" w:lineRule="auto"/>
        <w:rPr>
          <w:rFonts w:hint="eastAsia" w:ascii="仿宋" w:hAnsi="仿宋" w:eastAsia="仿宋" w:cs="仿宋"/>
          <w:sz w:val="32"/>
          <w:szCs w:val="32"/>
        </w:rPr>
      </w:pPr>
      <w:r>
        <w:rPr>
          <w:rFonts w:hint="eastAsia" w:ascii="仿宋" w:hAnsi="仿宋" w:eastAsia="仿宋" w:cs="仿宋"/>
          <w:sz w:val="32"/>
          <w:szCs w:val="32"/>
        </w:rPr>
        <w:t>2.统一运行巡视时间、路线、巡视系统实时监控和检查内容，利用图表 对每次工作进行记录；</w:t>
      </w:r>
    </w:p>
    <w:p w14:paraId="7633A217">
      <w:pPr>
        <w:spacing w:line="360" w:lineRule="auto"/>
        <w:rPr>
          <w:rFonts w:hint="eastAsia" w:ascii="仿宋" w:hAnsi="仿宋" w:eastAsia="仿宋" w:cs="仿宋"/>
          <w:sz w:val="32"/>
          <w:szCs w:val="32"/>
        </w:rPr>
      </w:pPr>
      <w:r>
        <w:rPr>
          <w:rFonts w:hint="eastAsia" w:ascii="仿宋" w:hAnsi="仿宋" w:eastAsia="仿宋" w:cs="仿宋"/>
          <w:sz w:val="32"/>
          <w:szCs w:val="32"/>
        </w:rPr>
        <w:t>3.科室负责人制定各类气瓶最小储存量,确定需要记录的运行指标；</w:t>
      </w:r>
    </w:p>
    <w:p w14:paraId="4C92C684">
      <w:pPr>
        <w:spacing w:line="360" w:lineRule="auto"/>
        <w:rPr>
          <w:rFonts w:hint="eastAsia" w:ascii="仿宋" w:hAnsi="仿宋" w:eastAsia="仿宋" w:cs="仿宋"/>
          <w:sz w:val="32"/>
          <w:szCs w:val="32"/>
        </w:rPr>
      </w:pPr>
      <w:r>
        <w:rPr>
          <w:rFonts w:hint="eastAsia" w:ascii="仿宋" w:hAnsi="仿宋" w:eastAsia="仿宋" w:cs="仿宋"/>
          <w:sz w:val="32"/>
          <w:szCs w:val="32"/>
        </w:rPr>
        <w:t>4.科室相关负责人建立值班流程，确定值班流程的重要点位和工作步骤；</w:t>
      </w:r>
    </w:p>
    <w:p w14:paraId="383097F5">
      <w:pPr>
        <w:spacing w:line="360" w:lineRule="auto"/>
        <w:rPr>
          <w:rFonts w:hint="eastAsia" w:ascii="仿宋" w:hAnsi="仿宋" w:eastAsia="仿宋" w:cs="仿宋"/>
          <w:sz w:val="32"/>
          <w:szCs w:val="32"/>
        </w:rPr>
      </w:pPr>
      <w:r>
        <w:rPr>
          <w:rFonts w:hint="eastAsia" w:ascii="仿宋" w:hAnsi="仿宋" w:eastAsia="仿宋" w:cs="仿宋"/>
          <w:sz w:val="32"/>
          <w:szCs w:val="32"/>
        </w:rPr>
        <w:t>5.在实际工作中，应特别注意系统有无泄漏，系统和组件的性能，对新 出现的问题加以改善；建立汇流排巡视标准，以文件的方式予以固化，建立设备运行记录。</w:t>
      </w:r>
    </w:p>
    <w:p w14:paraId="5DCE4F33">
      <w:pPr>
        <w:spacing w:line="360" w:lineRule="auto"/>
        <w:rPr>
          <w:rFonts w:hint="eastAsia" w:ascii="仿宋" w:hAnsi="仿宋" w:eastAsia="仿宋" w:cs="仿宋"/>
          <w:sz w:val="32"/>
          <w:szCs w:val="32"/>
        </w:rPr>
      </w:pPr>
      <w:r>
        <w:rPr>
          <w:rFonts w:hint="eastAsia" w:ascii="仿宋" w:hAnsi="仿宋" w:eastAsia="仿宋" w:cs="仿宋"/>
          <w:sz w:val="32"/>
          <w:szCs w:val="32"/>
        </w:rPr>
        <w:t>6.科室负责人对值班运行人员的工作考核，主要依据汇流排巡视流程、现场检查气体储存和汇流排巡检记录；</w:t>
      </w:r>
    </w:p>
    <w:p w14:paraId="0BBF13FE">
      <w:pPr>
        <w:spacing w:line="360" w:lineRule="auto"/>
        <w:rPr>
          <w:rFonts w:hint="eastAsia" w:ascii="仿宋" w:hAnsi="仿宋" w:eastAsia="仿宋" w:cs="仿宋"/>
          <w:sz w:val="32"/>
          <w:szCs w:val="32"/>
        </w:rPr>
      </w:pPr>
      <w:r>
        <w:rPr>
          <w:rFonts w:hint="eastAsia" w:ascii="仿宋" w:hAnsi="仿宋" w:eastAsia="仿宋" w:cs="仿宋"/>
          <w:sz w:val="32"/>
          <w:szCs w:val="32"/>
        </w:rPr>
        <w:t>7.当出现异常情况时,汇流排巡检记录上应有记录和处理结果。</w:t>
      </w:r>
    </w:p>
    <w:p w14:paraId="61D49A06">
      <w:pPr>
        <w:spacing w:line="360" w:lineRule="auto"/>
        <w:rPr>
          <w:rFonts w:hint="eastAsia" w:ascii="仿宋" w:hAnsi="仿宋" w:eastAsia="仿宋" w:cs="仿宋"/>
          <w:sz w:val="32"/>
          <w:szCs w:val="32"/>
        </w:rPr>
      </w:pPr>
    </w:p>
    <w:p w14:paraId="6AF6EAF0">
      <w:pPr>
        <w:spacing w:line="360" w:lineRule="auto"/>
        <w:rPr>
          <w:rFonts w:hint="eastAsia" w:ascii="仿宋" w:hAnsi="仿宋" w:eastAsia="仿宋" w:cs="仿宋"/>
          <w:sz w:val="32"/>
          <w:szCs w:val="32"/>
        </w:rPr>
      </w:pPr>
    </w:p>
    <w:p w14:paraId="364468AD">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（二） 汇流排维护保养</w:t>
      </w:r>
    </w:p>
    <w:p w14:paraId="1F4FAF84">
      <w:pPr>
        <w:spacing w:line="360" w:lineRule="auto"/>
        <w:rPr>
          <w:rFonts w:hint="eastAsia" w:ascii="仿宋" w:hAnsi="仿宋" w:eastAsia="仿宋" w:cs="仿宋"/>
          <w:sz w:val="32"/>
          <w:szCs w:val="32"/>
        </w:rPr>
      </w:pPr>
      <w:r>
        <w:rPr>
          <w:rFonts w:hint="eastAsia" w:ascii="仿宋" w:hAnsi="仿宋" w:eastAsia="仿宋" w:cs="仿宋"/>
          <w:sz w:val="32"/>
          <w:szCs w:val="32"/>
        </w:rPr>
        <w:t>1.汇流排的维护保养周期应根据使用频率制定；</w:t>
      </w:r>
    </w:p>
    <w:p w14:paraId="70433AF9">
      <w:pPr>
        <w:spacing w:line="360" w:lineRule="auto"/>
        <w:rPr>
          <w:rFonts w:hint="eastAsia" w:ascii="仿宋" w:hAnsi="仿宋" w:eastAsia="仿宋" w:cs="仿宋"/>
          <w:sz w:val="32"/>
          <w:szCs w:val="32"/>
        </w:rPr>
      </w:pPr>
      <w:r>
        <w:rPr>
          <w:rFonts w:hint="eastAsia" w:ascii="仿宋" w:hAnsi="仿宋" w:eastAsia="仿宋" w:cs="仿宋"/>
          <w:sz w:val="32"/>
          <w:szCs w:val="32"/>
        </w:rPr>
        <w:t>2.科室负责人应根据设备的操作手册或使用说明书制定维护保养手册；</w:t>
      </w:r>
    </w:p>
    <w:p w14:paraId="66FA1447">
      <w:pPr>
        <w:spacing w:line="360" w:lineRule="auto"/>
        <w:rPr>
          <w:rFonts w:hint="eastAsia" w:ascii="仿宋" w:hAnsi="仿宋" w:eastAsia="仿宋" w:cs="仿宋"/>
          <w:sz w:val="32"/>
          <w:szCs w:val="32"/>
        </w:rPr>
      </w:pPr>
      <w:r>
        <w:rPr>
          <w:rFonts w:hint="eastAsia" w:ascii="仿宋" w:hAnsi="仿宋" w:eastAsia="仿宋" w:cs="仿宋"/>
          <w:sz w:val="32"/>
          <w:szCs w:val="32"/>
        </w:rPr>
        <w:t>3.保养应分为例行保养和重大保养。例行保养的重点是清洗、紧固、检 查零件、部件工作是否正常;重点保养主要是对设备主体部分进行的检查和调整，对已达到使用周期或磨损限度的零部件进行更换；</w:t>
      </w:r>
    </w:p>
    <w:p w14:paraId="6C900A09">
      <w:pPr>
        <w:spacing w:line="360" w:lineRule="auto"/>
        <w:rPr>
          <w:rFonts w:hint="eastAsia" w:ascii="仿宋" w:hAnsi="仿宋" w:eastAsia="仿宋" w:cs="仿宋"/>
          <w:sz w:val="32"/>
          <w:szCs w:val="32"/>
        </w:rPr>
      </w:pPr>
      <w:r>
        <w:rPr>
          <w:rFonts w:hint="eastAsia" w:ascii="仿宋" w:hAnsi="仿宋" w:eastAsia="仿宋" w:cs="仿宋"/>
          <w:sz w:val="32"/>
          <w:szCs w:val="32"/>
        </w:rPr>
        <w:t>4.科室负责人根据汇流排维护保养要求制定维护保养计划，并根据计划 合理安排工作时间和人员；</w:t>
      </w:r>
    </w:p>
    <w:p w14:paraId="77472FEA">
      <w:pPr>
        <w:spacing w:line="360" w:lineRule="auto"/>
        <w:rPr>
          <w:rFonts w:hint="eastAsia" w:ascii="仿宋" w:hAnsi="仿宋" w:eastAsia="仿宋" w:cs="仿宋"/>
          <w:sz w:val="32"/>
          <w:szCs w:val="32"/>
        </w:rPr>
      </w:pPr>
      <w:r>
        <w:rPr>
          <w:rFonts w:hint="eastAsia" w:ascii="仿宋" w:hAnsi="仿宋" w:eastAsia="仿宋" w:cs="仿宋"/>
          <w:sz w:val="32"/>
          <w:szCs w:val="32"/>
        </w:rPr>
        <w:t>5.科室负责人对本部门工作计划完成结果进行评定，并提出相应的激励措施；</w:t>
      </w:r>
    </w:p>
    <w:p w14:paraId="40428434">
      <w:pPr>
        <w:spacing w:line="360" w:lineRule="auto"/>
        <w:rPr>
          <w:rFonts w:hint="eastAsia" w:ascii="仿宋" w:hAnsi="仿宋" w:eastAsia="仿宋" w:cs="仿宋"/>
          <w:sz w:val="32"/>
          <w:szCs w:val="32"/>
        </w:rPr>
      </w:pPr>
      <w:r>
        <w:rPr>
          <w:rFonts w:hint="eastAsia" w:ascii="仿宋" w:hAnsi="仿宋" w:eastAsia="仿宋" w:cs="仿宋"/>
          <w:sz w:val="32"/>
          <w:szCs w:val="32"/>
        </w:rPr>
        <w:t>6.对汇流排维护保养完成情况进行考核,考核办法依据维护保养手册、现场抽检和维护保养记录检查；</w:t>
      </w:r>
    </w:p>
    <w:p w14:paraId="20F4240C">
      <w:pPr>
        <w:spacing w:line="360" w:lineRule="auto"/>
        <w:rPr>
          <w:rFonts w:hint="eastAsia" w:ascii="仿宋" w:hAnsi="仿宋" w:eastAsia="仿宋" w:cs="仿宋"/>
          <w:sz w:val="32"/>
          <w:szCs w:val="32"/>
        </w:rPr>
      </w:pPr>
      <w:r>
        <w:rPr>
          <w:rFonts w:hint="eastAsia" w:ascii="仿宋" w:hAnsi="仿宋" w:eastAsia="仿宋" w:cs="仿宋"/>
          <w:sz w:val="32"/>
          <w:szCs w:val="32"/>
        </w:rPr>
        <w:t>7.汇流排维护保养表格应根据保养流程设计，工作人员按照维护保养的 步骤完成。</w:t>
      </w:r>
    </w:p>
    <w:p w14:paraId="54B3F9AB">
      <w:pPr>
        <w:spacing w:line="360" w:lineRule="auto"/>
        <w:rPr>
          <w:rFonts w:hint="eastAsia" w:ascii="仿宋" w:hAnsi="仿宋" w:eastAsia="仿宋" w:cs="仿宋"/>
          <w:sz w:val="32"/>
          <w:szCs w:val="32"/>
        </w:rPr>
      </w:pPr>
      <w:r>
        <w:rPr>
          <w:rFonts w:hint="eastAsia" w:ascii="仿宋" w:hAnsi="仿宋" w:eastAsia="仿宋" w:cs="仿宋"/>
          <w:b/>
          <w:bCs/>
          <w:sz w:val="32"/>
          <w:szCs w:val="32"/>
        </w:rPr>
        <w:t>1.3.3 真空泵（水环式)运行管理</w:t>
      </w:r>
    </w:p>
    <w:p w14:paraId="0995368A">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（一）真空泵的日常运行管理包括：</w:t>
      </w:r>
    </w:p>
    <w:p w14:paraId="3A64DEBA">
      <w:pPr>
        <w:spacing w:line="360" w:lineRule="auto"/>
        <w:rPr>
          <w:rFonts w:hint="eastAsia" w:ascii="仿宋" w:hAnsi="仿宋" w:eastAsia="仿宋" w:cs="仿宋"/>
          <w:sz w:val="32"/>
          <w:szCs w:val="32"/>
        </w:rPr>
      </w:pPr>
      <w:r>
        <w:rPr>
          <w:rFonts w:hint="eastAsia" w:ascii="仿宋" w:hAnsi="仿宋" w:eastAsia="仿宋" w:cs="仿宋"/>
          <w:sz w:val="32"/>
          <w:szCs w:val="32"/>
        </w:rPr>
        <w:t>1.检查填料密封的漏损情况，定期压紧填料.如填料因磨损而不能保证 所需要的密封时,应换新填料；</w:t>
      </w:r>
    </w:p>
    <w:p w14:paraId="7306A1EA">
      <w:pPr>
        <w:spacing w:line="360" w:lineRule="auto"/>
        <w:rPr>
          <w:rFonts w:hint="eastAsia" w:ascii="仿宋" w:hAnsi="仿宋" w:eastAsia="仿宋" w:cs="仿宋"/>
          <w:sz w:val="32"/>
          <w:szCs w:val="32"/>
        </w:rPr>
      </w:pPr>
      <w:r>
        <w:rPr>
          <w:rFonts w:hint="eastAsia" w:ascii="仿宋" w:hAnsi="仿宋" w:eastAsia="仿宋" w:cs="仿宋"/>
          <w:sz w:val="32"/>
          <w:szCs w:val="32"/>
        </w:rPr>
        <w:t>2.运行中经常检查滚动轴承温度，滚动轴承是否保持良好的润滑</w:t>
      </w:r>
      <w:r>
        <w:rPr>
          <w:rFonts w:hint="eastAsia" w:ascii="仿宋" w:hAnsi="仿宋" w:eastAsia="仿宋" w:cs="仿宋"/>
          <w:sz w:val="32"/>
          <w:szCs w:val="32"/>
          <w:lang w:eastAsia="zh-CN"/>
        </w:rPr>
        <w:t>；</w:t>
      </w:r>
      <w:r>
        <w:rPr>
          <w:rFonts w:hint="eastAsia" w:ascii="仿宋" w:hAnsi="仿宋" w:eastAsia="仿宋" w:cs="仿宋"/>
          <w:sz w:val="32"/>
          <w:szCs w:val="32"/>
        </w:rPr>
        <w:t>3.检查泵体的振动情况和监听运转有无杂音；</w:t>
      </w:r>
    </w:p>
    <w:p w14:paraId="26BBFACA">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4.检查电机、电控柜、电磁阀及盘根运行情况是否正常； </w:t>
      </w:r>
    </w:p>
    <w:p w14:paraId="3016921E">
      <w:pPr>
        <w:spacing w:line="360" w:lineRule="auto"/>
        <w:rPr>
          <w:rFonts w:hint="eastAsia" w:ascii="仿宋" w:hAnsi="仿宋" w:eastAsia="仿宋" w:cs="仿宋"/>
          <w:sz w:val="32"/>
          <w:szCs w:val="32"/>
        </w:rPr>
      </w:pPr>
      <w:r>
        <w:rPr>
          <w:rFonts w:hint="eastAsia" w:ascii="仿宋" w:hAnsi="仿宋" w:eastAsia="仿宋" w:cs="仿宋"/>
          <w:sz w:val="32"/>
          <w:szCs w:val="32"/>
        </w:rPr>
        <w:t>5.检查供水情况，保持足够的水量；</w:t>
      </w:r>
    </w:p>
    <w:p w14:paraId="2192F2A3">
      <w:pPr>
        <w:spacing w:line="360" w:lineRule="auto"/>
        <w:rPr>
          <w:rFonts w:hint="eastAsia" w:ascii="仿宋" w:hAnsi="仿宋" w:eastAsia="仿宋" w:cs="仿宋"/>
          <w:sz w:val="32"/>
          <w:szCs w:val="32"/>
        </w:rPr>
      </w:pPr>
      <w:r>
        <w:rPr>
          <w:rFonts w:hint="eastAsia" w:ascii="仿宋" w:hAnsi="仿宋" w:eastAsia="仿宋" w:cs="仿宋"/>
          <w:sz w:val="32"/>
          <w:szCs w:val="32"/>
        </w:rPr>
        <w:t>6.冬季使用时，在停机后将泵内及气水分离器的水放净，以免冻裂设备和影响使用；真空泵机房保持清洁、干燥,并通风良好；</w:t>
      </w:r>
    </w:p>
    <w:p w14:paraId="1E0E1A7B">
      <w:pPr>
        <w:spacing w:line="360" w:lineRule="auto"/>
        <w:rPr>
          <w:rFonts w:hint="eastAsia" w:ascii="仿宋" w:hAnsi="仿宋" w:eastAsia="仿宋" w:cs="仿宋"/>
          <w:sz w:val="32"/>
          <w:szCs w:val="32"/>
        </w:rPr>
      </w:pPr>
      <w:r>
        <w:rPr>
          <w:rFonts w:hint="eastAsia" w:ascii="仿宋" w:hAnsi="仿宋" w:eastAsia="仿宋" w:cs="仿宋"/>
          <w:sz w:val="32"/>
          <w:szCs w:val="32"/>
        </w:rPr>
        <w:t>7.检査联轴器及垫片是否损坏和松动，皮带的松紧，地脚螺丝是否松动，发现松动及时处理。</w:t>
      </w:r>
    </w:p>
    <w:p w14:paraId="4B6D16D2">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(二)真空泵（水环式）设备的维护保养包括:</w:t>
      </w:r>
    </w:p>
    <w:p w14:paraId="1C1B02CC">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1.每月定期对机组维护一次，发现异常及时报告，并做好维修记录； </w:t>
      </w:r>
    </w:p>
    <w:p w14:paraId="0ECC4FEC">
      <w:pPr>
        <w:spacing w:line="360" w:lineRule="auto"/>
        <w:rPr>
          <w:rFonts w:hint="eastAsia" w:ascii="仿宋" w:hAnsi="仿宋" w:eastAsia="仿宋" w:cs="仿宋"/>
          <w:sz w:val="32"/>
          <w:szCs w:val="32"/>
        </w:rPr>
      </w:pPr>
      <w:r>
        <w:rPr>
          <w:rFonts w:hint="eastAsia" w:ascii="仿宋" w:hAnsi="仿宋" w:eastAsia="仿宋" w:cs="仿宋"/>
          <w:sz w:val="32"/>
          <w:szCs w:val="32"/>
        </w:rPr>
        <w:t>2.每年定期由专业人员对机组整体性能检查一次，并做好检修记录；</w:t>
      </w:r>
    </w:p>
    <w:p w14:paraId="4F9E146C">
      <w:pPr>
        <w:spacing w:line="360" w:lineRule="auto"/>
        <w:rPr>
          <w:rFonts w:hint="eastAsia" w:ascii="仿宋" w:hAnsi="仿宋" w:eastAsia="仿宋" w:cs="仿宋"/>
          <w:sz w:val="32"/>
          <w:szCs w:val="32"/>
        </w:rPr>
      </w:pPr>
      <w:r>
        <w:rPr>
          <w:rFonts w:hint="eastAsia" w:ascii="仿宋" w:hAnsi="仿宋" w:eastAsia="仿宋" w:cs="仿宋"/>
          <w:sz w:val="32"/>
          <w:szCs w:val="32"/>
        </w:rPr>
        <w:t>3.根据每台泵的使用情况，定期对轴承进行清洗，并更换润滑油</w:t>
      </w:r>
      <w:r>
        <w:rPr>
          <w:rFonts w:hint="eastAsia" w:ascii="仿宋" w:hAnsi="仿宋" w:eastAsia="仿宋" w:cs="仿宋"/>
          <w:sz w:val="32"/>
          <w:szCs w:val="32"/>
          <w:lang w:eastAsia="zh-CN"/>
        </w:rPr>
        <w:t>，</w:t>
      </w:r>
      <w:r>
        <w:rPr>
          <w:rFonts w:hint="eastAsia" w:ascii="仿宋" w:hAnsi="仿宋" w:eastAsia="仿宋" w:cs="仿宋"/>
          <w:sz w:val="32"/>
          <w:szCs w:val="32"/>
        </w:rPr>
        <w:t>保持泵体及附件的整洁；</w:t>
      </w:r>
    </w:p>
    <w:p w14:paraId="670ED282">
      <w:pPr>
        <w:spacing w:line="360" w:lineRule="auto"/>
        <w:rPr>
          <w:rFonts w:hint="eastAsia" w:ascii="仿宋" w:hAnsi="仿宋" w:eastAsia="仿宋" w:cs="仿宋"/>
          <w:sz w:val="32"/>
          <w:szCs w:val="32"/>
        </w:rPr>
      </w:pPr>
      <w:r>
        <w:rPr>
          <w:rFonts w:hint="eastAsia" w:ascii="仿宋" w:hAnsi="仿宋" w:eastAsia="仿宋" w:cs="仿宋"/>
          <w:sz w:val="32"/>
          <w:szCs w:val="32"/>
        </w:rPr>
        <w:t>4.定期对真空泵的真空度进行检测（真空度应以真空泵的抽气率来衡量，而不能以压力值作为依照，同时在维护保养过程中不得采用关小阀门的方法来控制抽气率）；</w:t>
      </w:r>
    </w:p>
    <w:p w14:paraId="19EAFB89">
      <w:pPr>
        <w:spacing w:line="360" w:lineRule="auto"/>
        <w:rPr>
          <w:rFonts w:hint="eastAsia" w:ascii="仿宋" w:hAnsi="仿宋" w:eastAsia="仿宋" w:cs="仿宋"/>
          <w:sz w:val="32"/>
          <w:szCs w:val="32"/>
        </w:rPr>
      </w:pPr>
      <w:r>
        <w:rPr>
          <w:rFonts w:hint="eastAsia" w:ascii="仿宋" w:hAnsi="仿宋" w:eastAsia="仿宋" w:cs="仿宋"/>
          <w:sz w:val="32"/>
          <w:szCs w:val="32"/>
        </w:rPr>
        <w:t>5.根据对真空泵的使用情况，定期对真空泵进行排污处理（每年至少一次）。</w:t>
      </w:r>
    </w:p>
    <w:p w14:paraId="5D317666">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1.4 医疗空气供应源</w:t>
      </w:r>
    </w:p>
    <w:p w14:paraId="73D9B9A2">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医疗空气源系统的主要设备为空气压缩机，对其巡视、维护保养。</w:t>
      </w:r>
    </w:p>
    <w:p w14:paraId="2DE0CDD1">
      <w:pPr>
        <w:spacing w:line="360" w:lineRule="auto"/>
        <w:rPr>
          <w:rFonts w:hint="eastAsia" w:ascii="仿宋" w:hAnsi="仿宋" w:eastAsia="仿宋" w:cs="仿宋"/>
          <w:sz w:val="32"/>
          <w:szCs w:val="32"/>
        </w:rPr>
      </w:pPr>
      <w:r>
        <w:rPr>
          <w:rFonts w:hint="eastAsia" w:ascii="仿宋" w:hAnsi="仿宋" w:eastAsia="仿宋" w:cs="仿宋"/>
          <w:b/>
          <w:bCs/>
          <w:sz w:val="32"/>
          <w:szCs w:val="32"/>
        </w:rPr>
        <w:t>1.4.1 操作管理</w:t>
      </w:r>
    </w:p>
    <w:p w14:paraId="5C445AE1">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医用气体设备的安全操作离不开设备操作规程，操作规程是指导操作人员正确操作设备的技术性规范文件，其内容应根据设备供应商提供的产品说明书和操作手册为依据，结合医院实地的运行特点、安全要求等情况制定。操作人员在其全部操作过程中必须严格遵守操作规程的行为准则。</w:t>
      </w:r>
    </w:p>
    <w:p w14:paraId="63554365">
      <w:pPr>
        <w:spacing w:line="360" w:lineRule="auto"/>
        <w:rPr>
          <w:rFonts w:hint="eastAsia" w:ascii="仿宋" w:hAnsi="仿宋" w:eastAsia="仿宋" w:cs="仿宋"/>
          <w:sz w:val="32"/>
          <w:szCs w:val="32"/>
        </w:rPr>
      </w:pPr>
      <w:r>
        <w:rPr>
          <w:rFonts w:hint="eastAsia" w:ascii="仿宋" w:hAnsi="仿宋" w:eastAsia="仿宋" w:cs="仿宋"/>
          <w:b/>
          <w:bCs/>
          <w:sz w:val="32"/>
          <w:szCs w:val="32"/>
        </w:rPr>
        <w:t>医疗空气源的操作规程应大致包含以下内容：</w:t>
      </w:r>
    </w:p>
    <w:p w14:paraId="1AF60D22">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（一）操作设备前对设备状态的检查：</w:t>
      </w:r>
    </w:p>
    <w:p w14:paraId="6C36C8B7">
      <w:pPr>
        <w:spacing w:line="360" w:lineRule="auto"/>
        <w:rPr>
          <w:rFonts w:hint="eastAsia" w:ascii="仿宋" w:hAnsi="仿宋" w:eastAsia="仿宋" w:cs="仿宋"/>
          <w:sz w:val="32"/>
          <w:szCs w:val="32"/>
        </w:rPr>
      </w:pPr>
      <w:r>
        <w:rPr>
          <w:rFonts w:hint="eastAsia" w:ascii="仿宋" w:hAnsi="仿宋" w:eastAsia="仿宋" w:cs="仿宋"/>
          <w:sz w:val="32"/>
          <w:szCs w:val="32"/>
        </w:rPr>
        <w:t>空气源设备启动前，检查空压机、冷干机、无热再生干燥机等主要设 备动力电源和控制电源是否通电，检查管道阀门位置是否正确。</w:t>
      </w:r>
    </w:p>
    <w:p w14:paraId="688DDCF6">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（二）开机的操作程序与注意事项：</w:t>
      </w:r>
    </w:p>
    <w:p w14:paraId="1CEA8297">
      <w:pPr>
        <w:spacing w:line="360" w:lineRule="auto"/>
        <w:rPr>
          <w:rFonts w:hint="eastAsia" w:ascii="仿宋" w:hAnsi="仿宋" w:eastAsia="仿宋" w:cs="仿宋"/>
          <w:sz w:val="32"/>
          <w:szCs w:val="32"/>
        </w:rPr>
      </w:pPr>
      <w:r>
        <w:rPr>
          <w:rFonts w:hint="eastAsia" w:ascii="仿宋" w:hAnsi="仿宋" w:eastAsia="仿宋" w:cs="仿宋"/>
          <w:sz w:val="32"/>
          <w:szCs w:val="32"/>
        </w:rPr>
        <w:t>空气源系统启动按钮按下后，检查各主要设备启动顺序，检查各主要设备是否运转正常，压力、温度是否满足额定参数。</w:t>
      </w:r>
    </w:p>
    <w:p w14:paraId="65E0DFD7">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（三）运行中突发故障时的操作：</w:t>
      </w:r>
    </w:p>
    <w:p w14:paraId="40462AAC">
      <w:pPr>
        <w:spacing w:line="360" w:lineRule="auto"/>
        <w:rPr>
          <w:rFonts w:hint="eastAsia" w:ascii="仿宋" w:hAnsi="仿宋" w:eastAsia="仿宋" w:cs="仿宋"/>
          <w:sz w:val="32"/>
          <w:szCs w:val="32"/>
        </w:rPr>
      </w:pPr>
      <w:r>
        <w:rPr>
          <w:rFonts w:hint="eastAsia" w:ascii="仿宋" w:hAnsi="仿宋" w:eastAsia="仿宋" w:cs="仿宋"/>
          <w:sz w:val="32"/>
          <w:szCs w:val="32"/>
        </w:rPr>
        <w:t>机组出现故障时能正常停机，同时备用机组能正常启动，若备用机组无法自动启动，可通过手动方式启动备用机组,对于空压机出现紧急情况可导致人身安全及设备损坏时，可通过急停按钮紧急停止空压机。</w:t>
      </w:r>
    </w:p>
    <w:p w14:paraId="23D0B0EF">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（四）停机的操作程序和注意事项</w:t>
      </w:r>
    </w:p>
    <w:p w14:paraId="1C783800">
      <w:pPr>
        <w:spacing w:line="360" w:lineRule="auto"/>
        <w:rPr>
          <w:rFonts w:hint="eastAsia" w:ascii="仿宋" w:hAnsi="仿宋" w:eastAsia="仿宋" w:cs="仿宋"/>
          <w:sz w:val="32"/>
          <w:szCs w:val="32"/>
        </w:rPr>
      </w:pPr>
      <w:r>
        <w:rPr>
          <w:rFonts w:hint="eastAsia" w:ascii="仿宋" w:hAnsi="仿宋" w:eastAsia="仿宋" w:cs="仿宋"/>
          <w:sz w:val="32"/>
          <w:szCs w:val="32"/>
        </w:rPr>
        <w:t>正常情况下,按下空气源系统停机按钮后，停机控制程序将指挥设备依 次自动停机，停机过程中应检查各主要设备的停机顺序是否正确，完全停机后各设备是否处于正常的待机状态,若需重新启动应间隔几分钟。</w:t>
      </w:r>
    </w:p>
    <w:p w14:paraId="5962F9A8">
      <w:pPr>
        <w:spacing w:line="360" w:lineRule="auto"/>
        <w:rPr>
          <w:rFonts w:hint="eastAsia" w:ascii="仿宋" w:hAnsi="仿宋" w:eastAsia="仿宋" w:cs="仿宋"/>
          <w:sz w:val="32"/>
          <w:szCs w:val="32"/>
        </w:rPr>
      </w:pPr>
      <w:r>
        <w:rPr>
          <w:rFonts w:hint="eastAsia" w:ascii="仿宋" w:hAnsi="仿宋" w:eastAsia="仿宋" w:cs="仿宋"/>
          <w:b/>
          <w:bCs/>
          <w:sz w:val="32"/>
          <w:szCs w:val="32"/>
        </w:rPr>
        <w:t>1.4.2 巡检管理</w:t>
      </w:r>
    </w:p>
    <w:p w14:paraId="186D2482">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为了及时掌握设备运行现状，尽早发现潜在故障，应定时对设备进行巡检。巡检流程应根据设备的规模和运行要求制定，并根据流程确定巡视检 查人员数量、时间、路线和检查内容，夜间及节假日应加强巡査。巡检人员通过“视、听、嗅、触 ”等感官发现隐患和故障应立即处理并记录;无法 处理时，应即刻向管理人员报告，待处理后进行记录并存档。</w:t>
      </w:r>
    </w:p>
    <w:p w14:paraId="17B23D18">
      <w:pPr>
        <w:spacing w:line="360" w:lineRule="auto"/>
        <w:rPr>
          <w:rFonts w:hint="eastAsia" w:ascii="仿宋" w:hAnsi="仿宋" w:eastAsia="仿宋" w:cs="仿宋"/>
          <w:sz w:val="32"/>
          <w:szCs w:val="32"/>
        </w:rPr>
      </w:pPr>
      <w:r>
        <w:rPr>
          <w:rFonts w:hint="eastAsia" w:ascii="仿宋" w:hAnsi="仿宋" w:eastAsia="仿宋" w:cs="仿宋"/>
          <w:b/>
          <w:bCs/>
          <w:sz w:val="32"/>
          <w:szCs w:val="32"/>
        </w:rPr>
        <w:t>1.4.3 维护保养管理</w:t>
      </w:r>
    </w:p>
    <w:p w14:paraId="3B4C6538">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为了保证设备的完好率及延长设备的使用年限，应制定完善的维护保养制度及计划。空气源系统设备的维护保养计划应根据设备供应商提供的产品使用说明书为参考进行制定，明确其中的易损件、易耗件。</w:t>
      </w:r>
    </w:p>
    <w:p w14:paraId="6E463A83">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1.5 医用气体管道系统及末端设施管理</w:t>
      </w:r>
    </w:p>
    <w:p w14:paraId="11889F7C">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医用气体管道系统及末端设施主要包含二级稳压箱、设备带、气体终端等，其巡检管理和维护保养管理要点如下。</w:t>
      </w:r>
    </w:p>
    <w:p w14:paraId="6B030D85">
      <w:pPr>
        <w:spacing w:line="360" w:lineRule="auto"/>
        <w:rPr>
          <w:rFonts w:hint="eastAsia" w:ascii="仿宋" w:hAnsi="仿宋" w:eastAsia="仿宋" w:cs="仿宋"/>
          <w:sz w:val="32"/>
          <w:szCs w:val="32"/>
        </w:rPr>
      </w:pPr>
      <w:r>
        <w:rPr>
          <w:rFonts w:hint="eastAsia" w:ascii="仿宋" w:hAnsi="仿宋" w:eastAsia="仿宋" w:cs="仿宋"/>
          <w:b/>
          <w:bCs/>
          <w:sz w:val="32"/>
          <w:szCs w:val="32"/>
        </w:rPr>
        <w:t>1.5.1 巡检管理</w:t>
      </w:r>
    </w:p>
    <w:p w14:paraId="50BA3491">
      <w:pPr>
        <w:spacing w:line="360" w:lineRule="auto"/>
        <w:rPr>
          <w:rFonts w:hint="eastAsia" w:ascii="仿宋" w:hAnsi="仿宋" w:eastAsia="仿宋" w:cs="仿宋"/>
          <w:sz w:val="32"/>
          <w:szCs w:val="32"/>
        </w:rPr>
      </w:pPr>
      <w:r>
        <w:rPr>
          <w:rFonts w:hint="eastAsia" w:ascii="仿宋" w:hAnsi="仿宋" w:eastAsia="仿宋" w:cs="仿宋"/>
          <w:sz w:val="32"/>
          <w:szCs w:val="32"/>
        </w:rPr>
        <w:t>巡检流程应根据医院医用气体管道系统的规模、布局、使用特点制定， 并根据流程确定巡视检査人员数量、时间、路线和检查内容，夜间及节假日应加强巡查。巡检内容应包含以下内容：</w:t>
      </w:r>
    </w:p>
    <w:p w14:paraId="1FADCF5F">
      <w:pPr>
        <w:spacing w:line="360" w:lineRule="auto"/>
        <w:rPr>
          <w:rFonts w:hint="eastAsia" w:ascii="仿宋" w:hAnsi="仿宋" w:eastAsia="仿宋" w:cs="仿宋"/>
          <w:sz w:val="32"/>
          <w:szCs w:val="32"/>
        </w:rPr>
      </w:pPr>
      <w:r>
        <w:rPr>
          <w:rFonts w:hint="eastAsia" w:ascii="仿宋" w:hAnsi="仿宋" w:eastAsia="仿宋" w:cs="仿宋"/>
          <w:sz w:val="32"/>
          <w:szCs w:val="32"/>
        </w:rPr>
        <w:t>1.检查管道运行参数、压力、流量是否符合要求，有无欠压、超负荷 等现象；</w:t>
      </w:r>
    </w:p>
    <w:p w14:paraId="15EEFD6B">
      <w:pPr>
        <w:spacing w:line="360" w:lineRule="auto"/>
        <w:rPr>
          <w:rFonts w:hint="eastAsia" w:ascii="仿宋" w:hAnsi="仿宋" w:eastAsia="仿宋" w:cs="仿宋"/>
          <w:sz w:val="32"/>
          <w:szCs w:val="32"/>
        </w:rPr>
      </w:pPr>
      <w:r>
        <w:rPr>
          <w:rFonts w:hint="eastAsia" w:ascii="仿宋" w:hAnsi="仿宋" w:eastAsia="仿宋" w:cs="仿宋"/>
          <w:sz w:val="32"/>
          <w:szCs w:val="32"/>
        </w:rPr>
        <w:t>2.检查管道本体、管件、阀门及其他组件，不得出现跑、冒、滴、漏 现象；</w:t>
      </w:r>
    </w:p>
    <w:p w14:paraId="6E203A59">
      <w:pPr>
        <w:spacing w:line="360" w:lineRule="auto"/>
        <w:rPr>
          <w:rFonts w:hint="eastAsia" w:ascii="仿宋" w:hAnsi="仿宋" w:eastAsia="仿宋" w:cs="仿宋"/>
          <w:sz w:val="32"/>
          <w:szCs w:val="32"/>
        </w:rPr>
      </w:pPr>
      <w:r>
        <w:rPr>
          <w:rFonts w:hint="eastAsia" w:ascii="仿宋" w:hAnsi="仿宋" w:eastAsia="仿宋" w:cs="仿宋"/>
          <w:sz w:val="32"/>
          <w:szCs w:val="32"/>
        </w:rPr>
        <w:t>3.检查管道及支架，不得出现异常振动现象；</w:t>
      </w:r>
    </w:p>
    <w:p w14:paraId="29D3F996">
      <w:pPr>
        <w:spacing w:line="360" w:lineRule="auto"/>
        <w:rPr>
          <w:rFonts w:hint="eastAsia" w:ascii="仿宋" w:hAnsi="仿宋" w:eastAsia="仿宋" w:cs="仿宋"/>
          <w:sz w:val="32"/>
          <w:szCs w:val="32"/>
        </w:rPr>
      </w:pPr>
      <w:r>
        <w:rPr>
          <w:rFonts w:hint="eastAsia" w:ascii="仿宋" w:hAnsi="仿宋" w:eastAsia="仿宋" w:cs="仿宋"/>
          <w:sz w:val="32"/>
          <w:szCs w:val="32"/>
        </w:rPr>
        <w:t>4.检查管道是否有物体压迫，出现弯曲、下沉及异常变形等现象； 5.检查管道支架及紧固件是否出现脱落、变形、腐蚀损坏等现象； 6.检查管道、终端标识是否清晰，是否符合规范、标准；</w:t>
      </w:r>
    </w:p>
    <w:p w14:paraId="220C7F06">
      <w:pPr>
        <w:spacing w:line="360" w:lineRule="auto"/>
        <w:rPr>
          <w:rFonts w:hint="eastAsia" w:ascii="仿宋" w:hAnsi="仿宋" w:eastAsia="仿宋" w:cs="仿宋"/>
          <w:sz w:val="32"/>
          <w:szCs w:val="32"/>
        </w:rPr>
      </w:pPr>
      <w:r>
        <w:rPr>
          <w:rFonts w:hint="eastAsia" w:ascii="仿宋" w:hAnsi="仿宋" w:eastAsia="仿宋" w:cs="仿宋"/>
          <w:sz w:val="32"/>
          <w:szCs w:val="32"/>
        </w:rPr>
        <w:t>7.检查管道现场仪表如流量计、压力表、气体分析仪等运行是否正常；</w:t>
      </w:r>
    </w:p>
    <w:p w14:paraId="70645CA9">
      <w:pPr>
        <w:spacing w:line="360" w:lineRule="auto"/>
        <w:rPr>
          <w:rFonts w:hint="eastAsia" w:ascii="仿宋" w:hAnsi="仿宋" w:eastAsia="仿宋" w:cs="仿宋"/>
          <w:sz w:val="32"/>
          <w:szCs w:val="32"/>
        </w:rPr>
      </w:pPr>
      <w:r>
        <w:rPr>
          <w:rFonts w:hint="eastAsia" w:ascii="仿宋" w:hAnsi="仿宋" w:eastAsia="仿宋" w:cs="仿宋"/>
          <w:sz w:val="32"/>
          <w:szCs w:val="32"/>
        </w:rPr>
        <w:t>8.检査二级稳压箱、设备带、 吊塔、气体终端等设备，不得有气体泄 漏现象。</w:t>
      </w:r>
    </w:p>
    <w:p w14:paraId="3A1E52C8">
      <w:pPr>
        <w:spacing w:line="360" w:lineRule="auto"/>
        <w:rPr>
          <w:rFonts w:hint="eastAsia" w:ascii="仿宋" w:hAnsi="仿宋" w:eastAsia="仿宋" w:cs="仿宋"/>
          <w:sz w:val="32"/>
          <w:szCs w:val="32"/>
        </w:rPr>
      </w:pPr>
      <w:r>
        <w:rPr>
          <w:rFonts w:hint="eastAsia" w:ascii="仿宋" w:hAnsi="仿宋" w:eastAsia="仿宋" w:cs="仿宋"/>
          <w:b/>
          <w:bCs/>
          <w:sz w:val="32"/>
          <w:szCs w:val="32"/>
        </w:rPr>
        <w:t>1.5.2 维护保养管理</w:t>
      </w:r>
    </w:p>
    <w:p w14:paraId="63B11079">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医用气体管道系统及末端设施的维护保养不同于其他的设备设施，其具 有分布广、数量大、线路复杂等特点,维护保养可以定期巡检为主，临床使 用单位为辅，联防联控，保障医用气体管道系统及末端设施完好率和终端 用气的安全性。</w:t>
      </w:r>
    </w:p>
    <w:p w14:paraId="449E09BF">
      <w:pPr>
        <w:spacing w:line="360" w:lineRule="auto"/>
        <w:rPr>
          <w:rFonts w:hint="eastAsia" w:ascii="仿宋" w:hAnsi="仿宋" w:eastAsia="仿宋" w:cs="仿宋"/>
          <w:sz w:val="32"/>
          <w:szCs w:val="32"/>
        </w:rPr>
      </w:pPr>
      <w:r>
        <w:rPr>
          <w:rFonts w:hint="eastAsia" w:ascii="仿宋" w:hAnsi="仿宋" w:eastAsia="仿宋" w:cs="仿宋"/>
          <w:sz w:val="32"/>
          <w:szCs w:val="32"/>
        </w:rPr>
        <w:t>医用气体设备监测系统运行人员基本要求：</w:t>
      </w:r>
    </w:p>
    <w:p w14:paraId="1A1DCAE7">
      <w:pPr>
        <w:spacing w:line="360" w:lineRule="auto"/>
        <w:rPr>
          <w:rFonts w:hint="eastAsia" w:ascii="仿宋" w:hAnsi="仿宋" w:eastAsia="仿宋" w:cs="仿宋"/>
          <w:sz w:val="32"/>
          <w:szCs w:val="32"/>
        </w:rPr>
      </w:pPr>
      <w:r>
        <w:rPr>
          <w:rFonts w:hint="eastAsia" w:ascii="仿宋" w:hAnsi="仿宋" w:eastAsia="仿宋" w:cs="仿宋"/>
          <w:sz w:val="32"/>
          <w:szCs w:val="32"/>
        </w:rPr>
        <w:t>1.应了解设备的基础知识，能对监测设备进行基本操作；</w:t>
      </w:r>
    </w:p>
    <w:p w14:paraId="4DA05F97">
      <w:pPr>
        <w:spacing w:line="360" w:lineRule="auto"/>
        <w:rPr>
          <w:rFonts w:hint="eastAsia" w:ascii="仿宋" w:hAnsi="仿宋" w:eastAsia="仿宋" w:cs="仿宋"/>
          <w:sz w:val="32"/>
          <w:szCs w:val="32"/>
        </w:rPr>
      </w:pPr>
      <w:r>
        <w:rPr>
          <w:rFonts w:hint="eastAsia" w:ascii="仿宋" w:hAnsi="仿宋" w:eastAsia="仿宋" w:cs="仿宋"/>
          <w:sz w:val="32"/>
          <w:szCs w:val="32"/>
        </w:rPr>
        <w:t>2.应熟悉医用气体设备监测系统的原理，网络连接及其接入装置功能；</w:t>
      </w:r>
    </w:p>
    <w:p w14:paraId="533C6256">
      <w:pPr>
        <w:spacing w:line="360" w:lineRule="auto"/>
        <w:rPr>
          <w:rFonts w:hint="eastAsia" w:ascii="仿宋" w:hAnsi="仿宋" w:eastAsia="仿宋" w:cs="仿宋"/>
          <w:sz w:val="32"/>
          <w:szCs w:val="32"/>
        </w:rPr>
      </w:pPr>
      <w:r>
        <w:rPr>
          <w:rFonts w:hint="eastAsia" w:ascii="仿宋" w:hAnsi="仿宋" w:eastAsia="仿宋" w:cs="仿宋"/>
          <w:sz w:val="32"/>
          <w:szCs w:val="32"/>
        </w:rPr>
        <w:t>3.能对现场运行的设备监测系统进行常规的监视操作， 日常检查及定期巡检；</w:t>
      </w:r>
    </w:p>
    <w:p w14:paraId="6E48C56E">
      <w:pPr>
        <w:spacing w:line="360" w:lineRule="auto"/>
        <w:rPr>
          <w:rFonts w:hint="eastAsia" w:ascii="仿宋" w:hAnsi="仿宋" w:eastAsia="仿宋" w:cs="仿宋"/>
          <w:sz w:val="32"/>
          <w:szCs w:val="32"/>
        </w:rPr>
      </w:pPr>
      <w:r>
        <w:rPr>
          <w:rFonts w:hint="eastAsia" w:ascii="仿宋" w:hAnsi="仿宋" w:eastAsia="仿宋" w:cs="仿宋"/>
          <w:sz w:val="32"/>
          <w:szCs w:val="32"/>
        </w:rPr>
        <w:t>4.能对医用气体设备监测系统中装置上的操作及安全措施进行监督；</w:t>
      </w:r>
    </w:p>
    <w:p w14:paraId="40E462B7">
      <w:pPr>
        <w:spacing w:line="360" w:lineRule="auto"/>
        <w:rPr>
          <w:rFonts w:hint="eastAsia" w:ascii="仿宋" w:hAnsi="仿宋" w:eastAsia="仿宋" w:cs="仿宋"/>
          <w:sz w:val="32"/>
          <w:szCs w:val="32"/>
        </w:rPr>
      </w:pPr>
      <w:r>
        <w:rPr>
          <w:rFonts w:hint="eastAsia" w:ascii="仿宋" w:hAnsi="仿宋" w:eastAsia="仿宋" w:cs="仿宋"/>
          <w:sz w:val="32"/>
          <w:szCs w:val="32"/>
        </w:rPr>
        <w:t>5.能发现医用气体设备监测系统中的一些简单缺陷，并及时上报相关责任部门处理。</w:t>
      </w:r>
    </w:p>
    <w:p w14:paraId="486BBBF0">
      <w:pPr>
        <w:spacing w:line="360" w:lineRule="auto"/>
        <w:rPr>
          <w:rFonts w:hint="eastAsia" w:ascii="仿宋" w:hAnsi="仿宋" w:eastAsia="仿宋" w:cs="仿宋"/>
          <w:sz w:val="32"/>
          <w:szCs w:val="32"/>
        </w:rPr>
      </w:pPr>
      <w:r>
        <w:rPr>
          <w:rFonts w:hint="eastAsia" w:ascii="仿宋" w:hAnsi="仿宋" w:eastAsia="仿宋" w:cs="仿宋"/>
          <w:b/>
          <w:bCs/>
          <w:sz w:val="32"/>
          <w:szCs w:val="32"/>
        </w:rPr>
        <w:t>1.5.3 工作程序</w:t>
      </w:r>
    </w:p>
    <w:p w14:paraId="00938D84">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医用气体系统维修程序</w:t>
      </w:r>
    </w:p>
    <w:p w14:paraId="6EC02BAF">
      <w:pPr>
        <w:spacing w:line="360" w:lineRule="auto"/>
        <w:rPr>
          <w:rFonts w:hint="eastAsia" w:ascii="仿宋" w:hAnsi="仿宋" w:eastAsia="仿宋" w:cs="仿宋"/>
          <w:sz w:val="32"/>
          <w:szCs w:val="32"/>
          <w:lang w:eastAsia="zh-CN"/>
        </w:rPr>
      </w:pPr>
      <w:r>
        <w:rPr>
          <w:rFonts w:hint="eastAsia" w:ascii="仿宋" w:hAnsi="仿宋" w:eastAsia="仿宋" w:cs="仿宋"/>
          <w:sz w:val="32"/>
          <w:szCs w:val="32"/>
        </w:rPr>
        <w:t>（一）在日常运行中，医用气体系统值班人员应按照有关设备及装置巡回 检查规定进行巡检，发现问题要及时反映，以便维修人员尽快到位检修，检修后要将有关情况记录在“检修记录表 ”上</w:t>
      </w:r>
      <w:r>
        <w:rPr>
          <w:rFonts w:hint="eastAsia" w:ascii="仿宋" w:hAnsi="仿宋" w:eastAsia="仿宋" w:cs="仿宋"/>
          <w:sz w:val="32"/>
          <w:szCs w:val="32"/>
          <w:lang w:eastAsia="zh-CN"/>
        </w:rPr>
        <w:t>。</w:t>
      </w:r>
    </w:p>
    <w:p w14:paraId="1B2A3A0C">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（二）有医用气体系统报修时，由医用气体系统维修班人员到现场检查， 如属一般性维修，不涉及零部件的更换，则及时处理；如需要更换零件 </w:t>
      </w:r>
      <w:r>
        <w:rPr>
          <w:rFonts w:hint="eastAsia" w:ascii="仿宋" w:hAnsi="仿宋" w:eastAsia="仿宋" w:cs="仿宋"/>
          <w:sz w:val="32"/>
          <w:szCs w:val="32"/>
          <w:lang w:val="en-US" w:eastAsia="zh-CN"/>
        </w:rPr>
        <w:t>2</w:t>
      </w:r>
      <w:r>
        <w:rPr>
          <w:rFonts w:hint="eastAsia" w:ascii="仿宋" w:hAnsi="仿宋" w:eastAsia="仿宋" w:cs="仿宋"/>
          <w:sz w:val="32"/>
          <w:szCs w:val="32"/>
        </w:rPr>
        <w:t>00 元以下零件由维护保养公司支付，</w:t>
      </w:r>
      <w:r>
        <w:rPr>
          <w:rFonts w:hint="eastAsia" w:ascii="仿宋" w:hAnsi="仿宋" w:eastAsia="仿宋" w:cs="仿宋"/>
          <w:sz w:val="32"/>
          <w:szCs w:val="32"/>
          <w:lang w:val="en-US" w:eastAsia="zh-CN"/>
        </w:rPr>
        <w:t>2</w:t>
      </w:r>
      <w:r>
        <w:rPr>
          <w:rFonts w:hint="eastAsia" w:ascii="仿宋" w:hAnsi="仿宋" w:eastAsia="仿宋" w:cs="仿宋"/>
          <w:sz w:val="32"/>
          <w:szCs w:val="32"/>
        </w:rPr>
        <w:t>00 元以上零件由甲方负责采购。</w:t>
      </w:r>
    </w:p>
    <w:p w14:paraId="6D939DB2">
      <w:pPr>
        <w:spacing w:line="360" w:lineRule="auto"/>
        <w:rPr>
          <w:rFonts w:hint="eastAsia" w:ascii="仿宋" w:hAnsi="仿宋" w:eastAsia="仿宋" w:cs="仿宋"/>
          <w:sz w:val="32"/>
          <w:szCs w:val="32"/>
        </w:rPr>
      </w:pPr>
      <w:r>
        <w:rPr>
          <w:rFonts w:hint="eastAsia" w:ascii="仿宋" w:hAnsi="仿宋" w:eastAsia="仿宋" w:cs="仿宋"/>
          <w:b/>
          <w:bCs/>
          <w:sz w:val="32"/>
          <w:szCs w:val="32"/>
        </w:rPr>
        <w:t>1.5.4 医用气体系统记录表</w:t>
      </w:r>
      <w:bookmarkStart w:id="0" w:name="_GoBack"/>
      <w:bookmarkEnd w:id="0"/>
    </w:p>
    <w:p w14:paraId="5059787D">
      <w:pPr>
        <w:spacing w:line="360" w:lineRule="auto"/>
        <w:rPr>
          <w:rFonts w:hint="eastAsia" w:ascii="仿宋" w:hAnsi="仿宋" w:eastAsia="仿宋" w:cs="仿宋"/>
          <w:sz w:val="32"/>
          <w:szCs w:val="32"/>
        </w:rPr>
      </w:pPr>
      <w:r>
        <w:rPr>
          <w:rFonts w:hint="eastAsia" w:ascii="仿宋" w:hAnsi="仿宋" w:eastAsia="仿宋" w:cs="仿宋"/>
          <w:sz w:val="32"/>
          <w:szCs w:val="32"/>
        </w:rPr>
        <w:t>附表 1《万宁市中医院供氧中心交接班记录》;附表 2《万宁市中医院供氧中心负压房巡检记录》每天巡查、检查记录四次。</w:t>
      </w:r>
    </w:p>
    <w:p w14:paraId="523A16B8">
      <w:pPr>
        <w:spacing w:line="360" w:lineRule="auto"/>
        <w:rPr>
          <w:rFonts w:hint="eastAsia" w:ascii="仿宋" w:hAnsi="仿宋" w:eastAsia="仿宋" w:cs="仿宋"/>
          <w:sz w:val="32"/>
          <w:szCs w:val="32"/>
        </w:rPr>
      </w:pPr>
    </w:p>
    <w:p w14:paraId="5ECDA634">
      <w:pPr>
        <w:spacing w:line="360" w:lineRule="auto"/>
        <w:rPr>
          <w:rFonts w:hint="eastAsia" w:ascii="仿宋" w:hAnsi="仿宋" w:eastAsia="仿宋" w:cs="仿宋"/>
          <w:sz w:val="32"/>
          <w:szCs w:val="32"/>
        </w:rPr>
      </w:pPr>
    </w:p>
    <w:p w14:paraId="65F78A71">
      <w:pPr>
        <w:spacing w:line="360" w:lineRule="auto"/>
        <w:rPr>
          <w:rFonts w:hint="eastAsia" w:ascii="仿宋" w:hAnsi="仿宋" w:eastAsia="仿宋" w:cs="仿宋"/>
          <w:sz w:val="32"/>
          <w:szCs w:val="32"/>
        </w:rPr>
      </w:pPr>
    </w:p>
    <w:p w14:paraId="6C86160A">
      <w:pPr>
        <w:spacing w:line="360" w:lineRule="auto"/>
        <w:rPr>
          <w:rFonts w:hint="eastAsia" w:ascii="仿宋" w:hAnsi="仿宋" w:eastAsia="仿宋" w:cs="仿宋"/>
          <w:sz w:val="32"/>
          <w:szCs w:val="32"/>
        </w:rPr>
      </w:pPr>
    </w:p>
    <w:p w14:paraId="07649661">
      <w:pPr>
        <w:spacing w:line="360" w:lineRule="auto"/>
        <w:rPr>
          <w:rFonts w:hint="eastAsia" w:ascii="仿宋" w:hAnsi="仿宋" w:eastAsia="仿宋" w:cs="仿宋"/>
          <w:sz w:val="32"/>
          <w:szCs w:val="32"/>
        </w:rPr>
      </w:pPr>
    </w:p>
    <w:p w14:paraId="666DB169">
      <w:pPr>
        <w:spacing w:line="360" w:lineRule="auto"/>
        <w:rPr>
          <w:rFonts w:hint="eastAsia" w:ascii="仿宋" w:hAnsi="仿宋" w:eastAsia="仿宋" w:cs="仿宋"/>
          <w:sz w:val="32"/>
          <w:szCs w:val="32"/>
        </w:rPr>
      </w:pPr>
    </w:p>
    <w:tbl>
      <w:tblPr>
        <w:tblStyle w:val="6"/>
        <w:tblW w:w="8524" w:type="dxa"/>
        <w:tblInd w:w="5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6"/>
        <w:gridCol w:w="2825"/>
        <w:gridCol w:w="4613"/>
      </w:tblGrid>
      <w:tr w14:paraId="27325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trPr>
        <w:tc>
          <w:tcPr>
            <w:tcW w:w="8524" w:type="dxa"/>
            <w:gridSpan w:val="3"/>
            <w:vAlign w:val="top"/>
          </w:tcPr>
          <w:p w14:paraId="4272D6A1">
            <w:pPr>
              <w:pStyle w:val="5"/>
              <w:spacing w:before="118" w:line="223" w:lineRule="auto"/>
              <w:ind w:left="1340"/>
            </w:pPr>
            <w:r>
              <w:rPr>
                <w:spacing w:val="-4"/>
              </w:rPr>
              <w:t>表</w:t>
            </w:r>
            <w:r>
              <w:rPr>
                <w:spacing w:val="-26"/>
              </w:rPr>
              <w:t xml:space="preserve"> </w:t>
            </w:r>
            <w:r>
              <w:rPr>
                <w:spacing w:val="-4"/>
              </w:rPr>
              <w:t>1</w:t>
            </w:r>
            <w:r>
              <w:rPr>
                <w:spacing w:val="-51"/>
              </w:rPr>
              <w:t xml:space="preserve"> </w:t>
            </w:r>
            <w:r>
              <w:rPr>
                <w:spacing w:val="-4"/>
              </w:rPr>
              <w:t>万宁市中医院</w:t>
            </w:r>
            <w:r>
              <w:rPr>
                <w:spacing w:val="-3"/>
              </w:rPr>
              <w:t>供氧</w:t>
            </w:r>
            <w:r>
              <w:rPr>
                <w:rFonts w:hint="eastAsia"/>
                <w:spacing w:val="-3"/>
                <w:lang w:eastAsia="zh-CN"/>
              </w:rPr>
              <w:t>中心</w:t>
            </w:r>
            <w:r>
              <w:rPr>
                <w:spacing w:val="-4"/>
              </w:rPr>
              <w:t>交接班记录</w:t>
            </w:r>
          </w:p>
          <w:p w14:paraId="7C5F4897">
            <w:pPr>
              <w:pStyle w:val="5"/>
              <w:spacing w:before="206" w:line="223" w:lineRule="auto"/>
              <w:ind w:left="3497"/>
            </w:pPr>
            <w:r>
              <w:rPr>
                <w:spacing w:val="-23"/>
              </w:rPr>
              <w:t>日期：</w:t>
            </w:r>
            <w:r>
              <w:rPr>
                <w:spacing w:val="4"/>
              </w:rPr>
              <w:t xml:space="preserve">      </w:t>
            </w:r>
            <w:r>
              <w:rPr>
                <w:spacing w:val="-23"/>
              </w:rPr>
              <w:t>年</w:t>
            </w:r>
            <w:r>
              <w:rPr>
                <w:spacing w:val="9"/>
              </w:rPr>
              <w:t xml:space="preserve">    </w:t>
            </w:r>
            <w:r>
              <w:rPr>
                <w:spacing w:val="-23"/>
              </w:rPr>
              <w:t>月</w:t>
            </w:r>
            <w:r>
              <w:rPr>
                <w:spacing w:val="19"/>
              </w:rPr>
              <w:t xml:space="preserve">    </w:t>
            </w:r>
            <w:r>
              <w:rPr>
                <w:spacing w:val="-23"/>
              </w:rPr>
              <w:t>日</w:t>
            </w:r>
          </w:p>
        </w:tc>
      </w:tr>
      <w:tr w14:paraId="25004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086" w:type="dxa"/>
            <w:vMerge w:val="restart"/>
            <w:tcBorders>
              <w:bottom w:val="nil"/>
            </w:tcBorders>
            <w:textDirection w:val="tbRlV"/>
            <w:vAlign w:val="top"/>
          </w:tcPr>
          <w:p w14:paraId="1BC3D765">
            <w:pPr>
              <w:pStyle w:val="5"/>
              <w:spacing w:before="315" w:line="190" w:lineRule="auto"/>
              <w:ind w:left="194"/>
            </w:pPr>
            <w:r>
              <w:rPr>
                <w:spacing w:val="-1"/>
              </w:rPr>
              <w:t>早班</w:t>
            </w:r>
            <w:r>
              <w:rPr>
                <w:spacing w:val="-58"/>
              </w:rPr>
              <w:t xml:space="preserve"> </w:t>
            </w:r>
            <w:r>
              <w:rPr>
                <w:spacing w:val="-1"/>
              </w:rPr>
              <w:t>08：0-20：00</w:t>
            </w:r>
          </w:p>
        </w:tc>
        <w:tc>
          <w:tcPr>
            <w:tcW w:w="2825" w:type="dxa"/>
            <w:vAlign w:val="top"/>
          </w:tcPr>
          <w:p w14:paraId="2B70E0B9">
            <w:pPr>
              <w:pStyle w:val="5"/>
              <w:spacing w:before="68" w:line="224" w:lineRule="auto"/>
              <w:ind w:left="35"/>
            </w:pPr>
            <w:r>
              <w:rPr>
                <w:spacing w:val="-7"/>
              </w:rPr>
              <w:t>交班人：</w:t>
            </w:r>
          </w:p>
        </w:tc>
        <w:tc>
          <w:tcPr>
            <w:tcW w:w="4613" w:type="dxa"/>
            <w:vAlign w:val="top"/>
          </w:tcPr>
          <w:p w14:paraId="03E866DB">
            <w:pPr>
              <w:pStyle w:val="5"/>
              <w:spacing w:before="68" w:line="224" w:lineRule="auto"/>
              <w:ind w:left="32"/>
            </w:pPr>
            <w:r>
              <w:rPr>
                <w:spacing w:val="-5"/>
              </w:rPr>
              <w:t>接班人：</w:t>
            </w:r>
          </w:p>
        </w:tc>
      </w:tr>
      <w:tr w14:paraId="03E38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086" w:type="dxa"/>
            <w:vMerge w:val="continue"/>
            <w:tcBorders>
              <w:top w:val="nil"/>
              <w:bottom w:val="nil"/>
            </w:tcBorders>
            <w:textDirection w:val="tbRlV"/>
            <w:vAlign w:val="top"/>
          </w:tcPr>
          <w:p w14:paraId="09DC6DE6">
            <w:pPr>
              <w:rPr>
                <w:rFonts w:ascii="Arial"/>
                <w:sz w:val="21"/>
              </w:rPr>
            </w:pPr>
          </w:p>
        </w:tc>
        <w:tc>
          <w:tcPr>
            <w:tcW w:w="2825" w:type="dxa"/>
            <w:vAlign w:val="top"/>
          </w:tcPr>
          <w:p w14:paraId="14A64834">
            <w:pPr>
              <w:pStyle w:val="5"/>
              <w:spacing w:before="68" w:line="223" w:lineRule="auto"/>
              <w:ind w:left="31"/>
            </w:pPr>
            <w:r>
              <w:rPr>
                <w:spacing w:val="-4"/>
              </w:rPr>
              <w:t>上班交接问题</w:t>
            </w:r>
          </w:p>
        </w:tc>
        <w:tc>
          <w:tcPr>
            <w:tcW w:w="4613" w:type="dxa"/>
            <w:vAlign w:val="top"/>
          </w:tcPr>
          <w:p w14:paraId="7117430B">
            <w:pPr>
              <w:pStyle w:val="5"/>
              <w:spacing w:before="68" w:line="223" w:lineRule="auto"/>
              <w:ind w:left="32"/>
            </w:pPr>
            <w:r>
              <w:rPr>
                <w:spacing w:val="-5"/>
              </w:rPr>
              <w:t>本班记事</w:t>
            </w:r>
          </w:p>
        </w:tc>
      </w:tr>
      <w:tr w14:paraId="5D334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1086" w:type="dxa"/>
            <w:vMerge w:val="continue"/>
            <w:tcBorders>
              <w:top w:val="nil"/>
              <w:bottom w:val="nil"/>
            </w:tcBorders>
            <w:textDirection w:val="tbRlV"/>
            <w:vAlign w:val="top"/>
          </w:tcPr>
          <w:p w14:paraId="06DEFD43">
            <w:pPr>
              <w:rPr>
                <w:rFonts w:ascii="Arial"/>
                <w:sz w:val="21"/>
              </w:rPr>
            </w:pPr>
          </w:p>
        </w:tc>
        <w:tc>
          <w:tcPr>
            <w:tcW w:w="2825" w:type="dxa"/>
            <w:vAlign w:val="top"/>
          </w:tcPr>
          <w:p w14:paraId="55B2FD80">
            <w:pPr>
              <w:rPr>
                <w:rFonts w:ascii="Arial"/>
                <w:sz w:val="21"/>
              </w:rPr>
            </w:pPr>
          </w:p>
        </w:tc>
        <w:tc>
          <w:tcPr>
            <w:tcW w:w="4613" w:type="dxa"/>
            <w:vAlign w:val="top"/>
          </w:tcPr>
          <w:p w14:paraId="6FAFA895">
            <w:pPr>
              <w:rPr>
                <w:rFonts w:ascii="Arial"/>
                <w:sz w:val="21"/>
              </w:rPr>
            </w:pPr>
          </w:p>
        </w:tc>
      </w:tr>
      <w:tr w14:paraId="6CC7C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086" w:type="dxa"/>
            <w:vMerge w:val="continue"/>
            <w:tcBorders>
              <w:top w:val="nil"/>
            </w:tcBorders>
            <w:textDirection w:val="tbRlV"/>
            <w:vAlign w:val="top"/>
          </w:tcPr>
          <w:p w14:paraId="24736D6A">
            <w:pPr>
              <w:rPr>
                <w:rFonts w:ascii="Arial"/>
                <w:sz w:val="21"/>
              </w:rPr>
            </w:pPr>
          </w:p>
        </w:tc>
        <w:tc>
          <w:tcPr>
            <w:tcW w:w="2825" w:type="dxa"/>
            <w:vAlign w:val="top"/>
          </w:tcPr>
          <w:p w14:paraId="6600665E">
            <w:pPr>
              <w:pStyle w:val="5"/>
              <w:spacing w:before="71" w:line="224" w:lineRule="auto"/>
              <w:ind w:left="28"/>
            </w:pPr>
            <w:r>
              <w:rPr>
                <w:spacing w:val="-5"/>
              </w:rPr>
              <w:t>值班人员</w:t>
            </w:r>
          </w:p>
        </w:tc>
        <w:tc>
          <w:tcPr>
            <w:tcW w:w="4613" w:type="dxa"/>
            <w:vAlign w:val="top"/>
          </w:tcPr>
          <w:p w14:paraId="06175BDF">
            <w:pPr>
              <w:rPr>
                <w:rFonts w:ascii="Arial"/>
                <w:sz w:val="21"/>
              </w:rPr>
            </w:pPr>
          </w:p>
        </w:tc>
      </w:tr>
      <w:tr w14:paraId="2BD1D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1086" w:type="dxa"/>
            <w:vMerge w:val="restart"/>
            <w:tcBorders>
              <w:bottom w:val="nil"/>
            </w:tcBorders>
            <w:textDirection w:val="tbRlV"/>
            <w:vAlign w:val="top"/>
          </w:tcPr>
          <w:p w14:paraId="224109EB">
            <w:pPr>
              <w:pStyle w:val="5"/>
              <w:spacing w:before="317" w:line="190" w:lineRule="auto"/>
              <w:ind w:right="2"/>
              <w:jc w:val="right"/>
            </w:pPr>
            <w:r>
              <w:rPr>
                <w:spacing w:val="-12"/>
              </w:rPr>
              <w:t>夜班</w:t>
            </w:r>
            <w:r>
              <w:rPr>
                <w:spacing w:val="-60"/>
              </w:rPr>
              <w:t xml:space="preserve"> </w:t>
            </w:r>
            <w:r>
              <w:rPr>
                <w:spacing w:val="-12"/>
              </w:rPr>
              <w:t>20：00-</w:t>
            </w:r>
            <w:r>
              <w:rPr>
                <w:spacing w:val="-11"/>
              </w:rPr>
              <w:t>08：0</w:t>
            </w:r>
            <w:r>
              <w:rPr>
                <w:spacing w:val="-3"/>
              </w:rPr>
              <w:t>0</w:t>
            </w:r>
          </w:p>
        </w:tc>
        <w:tc>
          <w:tcPr>
            <w:tcW w:w="2825" w:type="dxa"/>
            <w:vAlign w:val="top"/>
          </w:tcPr>
          <w:p w14:paraId="6BC5E95A">
            <w:pPr>
              <w:pStyle w:val="5"/>
              <w:spacing w:before="71" w:line="224" w:lineRule="auto"/>
              <w:ind w:left="35"/>
            </w:pPr>
            <w:r>
              <w:rPr>
                <w:spacing w:val="-7"/>
              </w:rPr>
              <w:t>交班人：</w:t>
            </w:r>
          </w:p>
        </w:tc>
        <w:tc>
          <w:tcPr>
            <w:tcW w:w="4613" w:type="dxa"/>
            <w:vAlign w:val="top"/>
          </w:tcPr>
          <w:p w14:paraId="434C5940">
            <w:pPr>
              <w:pStyle w:val="5"/>
              <w:spacing w:before="71" w:line="224" w:lineRule="auto"/>
              <w:ind w:left="32"/>
            </w:pPr>
            <w:r>
              <w:rPr>
                <w:spacing w:val="-5"/>
              </w:rPr>
              <w:t>接班人：</w:t>
            </w:r>
          </w:p>
        </w:tc>
      </w:tr>
      <w:tr w14:paraId="2394B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trPr>
        <w:tc>
          <w:tcPr>
            <w:tcW w:w="1086" w:type="dxa"/>
            <w:vMerge w:val="continue"/>
            <w:tcBorders>
              <w:top w:val="nil"/>
              <w:bottom w:val="nil"/>
            </w:tcBorders>
            <w:textDirection w:val="tbRlV"/>
            <w:vAlign w:val="top"/>
          </w:tcPr>
          <w:p w14:paraId="60DD24E2">
            <w:pPr>
              <w:rPr>
                <w:rFonts w:ascii="Arial"/>
                <w:sz w:val="21"/>
              </w:rPr>
            </w:pPr>
          </w:p>
        </w:tc>
        <w:tc>
          <w:tcPr>
            <w:tcW w:w="2825" w:type="dxa"/>
            <w:vAlign w:val="top"/>
          </w:tcPr>
          <w:p w14:paraId="694C330F">
            <w:pPr>
              <w:pStyle w:val="5"/>
              <w:spacing w:before="71" w:line="223" w:lineRule="auto"/>
              <w:ind w:left="31"/>
            </w:pPr>
            <w:r>
              <w:rPr>
                <w:spacing w:val="-4"/>
              </w:rPr>
              <w:t>上班交接问题</w:t>
            </w:r>
          </w:p>
        </w:tc>
        <w:tc>
          <w:tcPr>
            <w:tcW w:w="4613" w:type="dxa"/>
            <w:vAlign w:val="top"/>
          </w:tcPr>
          <w:p w14:paraId="3B9704D4">
            <w:pPr>
              <w:pStyle w:val="5"/>
              <w:spacing w:before="71" w:line="223" w:lineRule="auto"/>
              <w:ind w:left="32"/>
            </w:pPr>
            <w:r>
              <w:rPr>
                <w:spacing w:val="-5"/>
              </w:rPr>
              <w:t>本班记事</w:t>
            </w:r>
          </w:p>
        </w:tc>
      </w:tr>
      <w:tr w14:paraId="7A33E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086" w:type="dxa"/>
            <w:vMerge w:val="continue"/>
            <w:tcBorders>
              <w:top w:val="nil"/>
              <w:bottom w:val="nil"/>
            </w:tcBorders>
            <w:textDirection w:val="tbRlV"/>
            <w:vAlign w:val="top"/>
          </w:tcPr>
          <w:p w14:paraId="0ED9DE11">
            <w:pPr>
              <w:rPr>
                <w:rFonts w:ascii="Arial"/>
                <w:sz w:val="21"/>
              </w:rPr>
            </w:pPr>
          </w:p>
        </w:tc>
        <w:tc>
          <w:tcPr>
            <w:tcW w:w="2825" w:type="dxa"/>
            <w:vAlign w:val="top"/>
          </w:tcPr>
          <w:p w14:paraId="27BEEC35">
            <w:pPr>
              <w:rPr>
                <w:rFonts w:ascii="Arial"/>
                <w:sz w:val="21"/>
              </w:rPr>
            </w:pPr>
          </w:p>
        </w:tc>
        <w:tc>
          <w:tcPr>
            <w:tcW w:w="4613" w:type="dxa"/>
            <w:vAlign w:val="top"/>
          </w:tcPr>
          <w:p w14:paraId="6FE6D323">
            <w:pPr>
              <w:rPr>
                <w:rFonts w:ascii="Arial"/>
                <w:sz w:val="21"/>
              </w:rPr>
            </w:pPr>
          </w:p>
        </w:tc>
      </w:tr>
      <w:tr w14:paraId="732F6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086" w:type="dxa"/>
            <w:vMerge w:val="continue"/>
            <w:tcBorders>
              <w:top w:val="nil"/>
            </w:tcBorders>
            <w:textDirection w:val="tbRlV"/>
            <w:vAlign w:val="top"/>
          </w:tcPr>
          <w:p w14:paraId="79D46800">
            <w:pPr>
              <w:rPr>
                <w:rFonts w:ascii="Arial"/>
                <w:sz w:val="21"/>
              </w:rPr>
            </w:pPr>
          </w:p>
        </w:tc>
        <w:tc>
          <w:tcPr>
            <w:tcW w:w="2825" w:type="dxa"/>
            <w:vAlign w:val="top"/>
          </w:tcPr>
          <w:p w14:paraId="0BA216FA">
            <w:pPr>
              <w:pStyle w:val="5"/>
              <w:spacing w:before="69" w:line="224" w:lineRule="auto"/>
              <w:ind w:left="28"/>
            </w:pPr>
            <w:r>
              <w:rPr>
                <w:spacing w:val="-5"/>
              </w:rPr>
              <w:t>值班人员</w:t>
            </w:r>
          </w:p>
        </w:tc>
        <w:tc>
          <w:tcPr>
            <w:tcW w:w="4613" w:type="dxa"/>
            <w:vAlign w:val="top"/>
          </w:tcPr>
          <w:p w14:paraId="1C0687F4">
            <w:pPr>
              <w:rPr>
                <w:rFonts w:ascii="Arial"/>
                <w:sz w:val="21"/>
              </w:rPr>
            </w:pPr>
          </w:p>
        </w:tc>
      </w:tr>
    </w:tbl>
    <w:p w14:paraId="50D4030C">
      <w:pPr>
        <w:spacing w:line="360" w:lineRule="auto"/>
        <w:rPr>
          <w:rFonts w:hint="eastAsia" w:ascii="仿宋" w:hAnsi="仿宋" w:eastAsia="仿宋" w:cs="仿宋"/>
          <w:sz w:val="32"/>
          <w:szCs w:val="32"/>
        </w:rPr>
      </w:pPr>
    </w:p>
    <w:p w14:paraId="46B64473">
      <w:pPr>
        <w:spacing w:line="360" w:lineRule="auto"/>
        <w:rPr>
          <w:rFonts w:hint="eastAsia" w:ascii="仿宋" w:hAnsi="仿宋" w:eastAsia="仿宋" w:cs="仿宋"/>
          <w:sz w:val="32"/>
          <w:szCs w:val="32"/>
        </w:rPr>
      </w:pPr>
    </w:p>
    <w:p w14:paraId="6404ED4C">
      <w:pPr>
        <w:spacing w:line="360" w:lineRule="auto"/>
        <w:rPr>
          <w:rFonts w:hint="eastAsia" w:ascii="仿宋" w:hAnsi="仿宋" w:eastAsia="仿宋" w:cs="仿宋"/>
          <w:sz w:val="32"/>
          <w:szCs w:val="32"/>
        </w:rPr>
      </w:pPr>
    </w:p>
    <w:p w14:paraId="59B0FECA">
      <w:pPr>
        <w:spacing w:line="360" w:lineRule="auto"/>
        <w:rPr>
          <w:rFonts w:hint="eastAsia" w:ascii="仿宋" w:hAnsi="仿宋" w:eastAsia="仿宋" w:cs="仿宋"/>
          <w:sz w:val="32"/>
          <w:szCs w:val="32"/>
        </w:rPr>
      </w:pPr>
    </w:p>
    <w:p w14:paraId="023419D5">
      <w:pPr>
        <w:spacing w:line="360" w:lineRule="auto"/>
        <w:rPr>
          <w:rFonts w:hint="eastAsia" w:ascii="仿宋" w:hAnsi="仿宋" w:eastAsia="仿宋" w:cs="仿宋"/>
          <w:sz w:val="32"/>
          <w:szCs w:val="32"/>
        </w:rPr>
      </w:pPr>
    </w:p>
    <w:p w14:paraId="3413A5F2">
      <w:pPr>
        <w:spacing w:line="360" w:lineRule="auto"/>
        <w:rPr>
          <w:rFonts w:hint="eastAsia" w:ascii="仿宋" w:hAnsi="仿宋" w:eastAsia="仿宋" w:cs="仿宋"/>
          <w:sz w:val="32"/>
          <w:szCs w:val="32"/>
        </w:rPr>
      </w:pPr>
    </w:p>
    <w:p w14:paraId="1ECF5D0D">
      <w:pPr>
        <w:spacing w:line="360" w:lineRule="auto"/>
        <w:rPr>
          <w:rFonts w:hint="eastAsia" w:ascii="仿宋" w:hAnsi="仿宋" w:eastAsia="仿宋" w:cs="仿宋"/>
          <w:sz w:val="32"/>
          <w:szCs w:val="32"/>
        </w:rPr>
      </w:pPr>
    </w:p>
    <w:p w14:paraId="17F3ACBC">
      <w:pPr>
        <w:spacing w:line="360" w:lineRule="auto"/>
        <w:rPr>
          <w:rFonts w:hint="eastAsia" w:ascii="仿宋" w:hAnsi="仿宋" w:eastAsia="仿宋" w:cs="仿宋"/>
          <w:sz w:val="32"/>
          <w:szCs w:val="32"/>
        </w:rPr>
      </w:pPr>
    </w:p>
    <w:p w14:paraId="4B16ED81">
      <w:pPr>
        <w:spacing w:line="360" w:lineRule="auto"/>
        <w:rPr>
          <w:rFonts w:hint="eastAsia" w:ascii="仿宋" w:hAnsi="仿宋" w:eastAsia="仿宋" w:cs="仿宋"/>
          <w:sz w:val="32"/>
          <w:szCs w:val="32"/>
        </w:rPr>
      </w:pPr>
    </w:p>
    <w:p w14:paraId="242BC29A">
      <w:pPr>
        <w:spacing w:line="360" w:lineRule="auto"/>
        <w:rPr>
          <w:rFonts w:hint="eastAsia" w:ascii="仿宋" w:hAnsi="仿宋" w:eastAsia="仿宋" w:cs="仿宋"/>
          <w:sz w:val="32"/>
          <w:szCs w:val="32"/>
        </w:rPr>
      </w:pPr>
    </w:p>
    <w:p w14:paraId="0970DA7B">
      <w:pPr>
        <w:spacing w:line="360" w:lineRule="auto"/>
        <w:rPr>
          <w:rFonts w:hint="eastAsia" w:ascii="仿宋" w:hAnsi="仿宋" w:eastAsia="仿宋" w:cs="仿宋"/>
          <w:sz w:val="32"/>
          <w:szCs w:val="32"/>
        </w:rPr>
      </w:pPr>
    </w:p>
    <w:p w14:paraId="010C0DA0">
      <w:pPr>
        <w:spacing w:line="360" w:lineRule="auto"/>
        <w:rPr>
          <w:rFonts w:hint="eastAsia" w:ascii="仿宋" w:hAnsi="仿宋" w:eastAsia="仿宋" w:cs="仿宋"/>
          <w:sz w:val="32"/>
          <w:szCs w:val="32"/>
        </w:rPr>
      </w:pPr>
    </w:p>
    <w:tbl>
      <w:tblPr>
        <w:tblStyle w:val="6"/>
        <w:tblW w:w="88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29"/>
        <w:gridCol w:w="434"/>
        <w:gridCol w:w="434"/>
        <w:gridCol w:w="434"/>
        <w:gridCol w:w="434"/>
        <w:gridCol w:w="434"/>
        <w:gridCol w:w="434"/>
        <w:gridCol w:w="433"/>
        <w:gridCol w:w="435"/>
        <w:gridCol w:w="434"/>
        <w:gridCol w:w="435"/>
        <w:gridCol w:w="434"/>
        <w:gridCol w:w="435"/>
        <w:gridCol w:w="434"/>
        <w:gridCol w:w="434"/>
        <w:gridCol w:w="434"/>
        <w:gridCol w:w="443"/>
      </w:tblGrid>
      <w:tr w14:paraId="35382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3" w:hRule="atLeast"/>
        </w:trPr>
        <w:tc>
          <w:tcPr>
            <w:tcW w:w="8884" w:type="dxa"/>
            <w:gridSpan w:val="17"/>
            <w:vAlign w:val="top"/>
          </w:tcPr>
          <w:p w14:paraId="65DBE635">
            <w:pPr>
              <w:pStyle w:val="5"/>
              <w:spacing w:before="59" w:line="344" w:lineRule="auto"/>
              <w:ind w:left="5637" w:right="1218" w:hanging="4398"/>
            </w:pPr>
            <w:r>
              <w:rPr>
                <w:spacing w:val="-3"/>
              </w:rPr>
              <w:t>表</w:t>
            </w:r>
            <w:r>
              <w:rPr>
                <w:spacing w:val="-43"/>
              </w:rPr>
              <w:t xml:space="preserve"> </w:t>
            </w:r>
            <w:r>
              <w:rPr>
                <w:spacing w:val="-3"/>
              </w:rPr>
              <w:t>2</w:t>
            </w:r>
            <w:r>
              <w:rPr>
                <w:spacing w:val="-49"/>
              </w:rPr>
              <w:t xml:space="preserve"> </w:t>
            </w:r>
            <w:r>
              <w:rPr>
                <w:spacing w:val="-3"/>
              </w:rPr>
              <w:t>万宁市中医院供氧</w:t>
            </w:r>
            <w:r>
              <w:rPr>
                <w:rFonts w:hint="eastAsia"/>
                <w:spacing w:val="-3"/>
                <w:lang w:eastAsia="zh-CN"/>
              </w:rPr>
              <w:t>中心</w:t>
            </w:r>
            <w:r>
              <w:rPr>
                <w:spacing w:val="-3"/>
              </w:rPr>
              <w:t>负压房巡检记录</w:t>
            </w:r>
            <w:r>
              <w:t xml:space="preserve"> </w:t>
            </w:r>
            <w:r>
              <w:rPr>
                <w:spacing w:val="-26"/>
              </w:rPr>
              <w:t>日期：</w:t>
            </w:r>
          </w:p>
        </w:tc>
      </w:tr>
      <w:tr w14:paraId="3AAF8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9" w:hRule="atLeast"/>
        </w:trPr>
        <w:tc>
          <w:tcPr>
            <w:tcW w:w="1929" w:type="dxa"/>
            <w:vAlign w:val="top"/>
          </w:tcPr>
          <w:p w14:paraId="2D6A2EAD">
            <w:pPr>
              <w:pStyle w:val="5"/>
              <w:spacing w:before="57" w:line="343" w:lineRule="auto"/>
              <w:ind w:left="480" w:right="400" w:hanging="58"/>
            </w:pPr>
            <w:r>
              <w:rPr>
                <w:spacing w:val="-5"/>
              </w:rPr>
              <w:t>巡检时间</w:t>
            </w:r>
            <w:r>
              <w:t xml:space="preserve"> </w:t>
            </w:r>
            <w:r>
              <w:rPr>
                <w:spacing w:val="-2"/>
              </w:rPr>
              <w:t>/巡检人</w:t>
            </w:r>
          </w:p>
        </w:tc>
        <w:tc>
          <w:tcPr>
            <w:tcW w:w="868" w:type="dxa"/>
            <w:gridSpan w:val="2"/>
            <w:vAlign w:val="top"/>
          </w:tcPr>
          <w:p w14:paraId="7307AAA9">
            <w:pPr>
              <w:rPr>
                <w:rFonts w:ascii="Arial"/>
                <w:sz w:val="21"/>
              </w:rPr>
            </w:pPr>
          </w:p>
        </w:tc>
        <w:tc>
          <w:tcPr>
            <w:tcW w:w="868" w:type="dxa"/>
            <w:gridSpan w:val="2"/>
            <w:vAlign w:val="top"/>
          </w:tcPr>
          <w:p w14:paraId="051D6E0F">
            <w:pPr>
              <w:rPr>
                <w:rFonts w:ascii="Arial"/>
                <w:sz w:val="21"/>
              </w:rPr>
            </w:pPr>
          </w:p>
        </w:tc>
        <w:tc>
          <w:tcPr>
            <w:tcW w:w="868" w:type="dxa"/>
            <w:gridSpan w:val="2"/>
            <w:vAlign w:val="top"/>
          </w:tcPr>
          <w:p w14:paraId="39D8FC97">
            <w:pPr>
              <w:rPr>
                <w:rFonts w:ascii="Arial"/>
                <w:sz w:val="21"/>
              </w:rPr>
            </w:pPr>
          </w:p>
        </w:tc>
        <w:tc>
          <w:tcPr>
            <w:tcW w:w="868" w:type="dxa"/>
            <w:gridSpan w:val="2"/>
            <w:vAlign w:val="top"/>
          </w:tcPr>
          <w:p w14:paraId="3FF27CA6">
            <w:pPr>
              <w:rPr>
                <w:rFonts w:ascii="Arial"/>
                <w:sz w:val="21"/>
              </w:rPr>
            </w:pPr>
          </w:p>
        </w:tc>
        <w:tc>
          <w:tcPr>
            <w:tcW w:w="869" w:type="dxa"/>
            <w:gridSpan w:val="2"/>
            <w:vAlign w:val="top"/>
          </w:tcPr>
          <w:p w14:paraId="3C4B8110">
            <w:pPr>
              <w:rPr>
                <w:rFonts w:ascii="Arial"/>
                <w:sz w:val="21"/>
              </w:rPr>
            </w:pPr>
          </w:p>
        </w:tc>
        <w:tc>
          <w:tcPr>
            <w:tcW w:w="869" w:type="dxa"/>
            <w:gridSpan w:val="2"/>
            <w:vAlign w:val="top"/>
          </w:tcPr>
          <w:p w14:paraId="5B745F15">
            <w:pPr>
              <w:rPr>
                <w:rFonts w:ascii="Arial"/>
                <w:sz w:val="21"/>
              </w:rPr>
            </w:pPr>
          </w:p>
        </w:tc>
        <w:tc>
          <w:tcPr>
            <w:tcW w:w="868" w:type="dxa"/>
            <w:gridSpan w:val="2"/>
            <w:vAlign w:val="top"/>
          </w:tcPr>
          <w:p w14:paraId="660A8BEC">
            <w:pPr>
              <w:rPr>
                <w:rFonts w:ascii="Arial"/>
                <w:sz w:val="21"/>
              </w:rPr>
            </w:pPr>
          </w:p>
        </w:tc>
        <w:tc>
          <w:tcPr>
            <w:tcW w:w="877" w:type="dxa"/>
            <w:gridSpan w:val="2"/>
            <w:vAlign w:val="top"/>
          </w:tcPr>
          <w:p w14:paraId="584EDB62">
            <w:pPr>
              <w:rPr>
                <w:rFonts w:ascii="Arial"/>
                <w:sz w:val="21"/>
              </w:rPr>
            </w:pPr>
          </w:p>
        </w:tc>
      </w:tr>
      <w:tr w14:paraId="00BDD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9" w:hRule="atLeast"/>
        </w:trPr>
        <w:tc>
          <w:tcPr>
            <w:tcW w:w="1929" w:type="dxa"/>
            <w:vAlign w:val="top"/>
          </w:tcPr>
          <w:p w14:paraId="624D2E87">
            <w:pPr>
              <w:pStyle w:val="5"/>
              <w:spacing w:before="329" w:line="221" w:lineRule="auto"/>
              <w:ind w:left="422"/>
            </w:pPr>
            <w:r>
              <w:rPr>
                <w:spacing w:val="-5"/>
              </w:rPr>
              <w:t>巡检内容</w:t>
            </w:r>
          </w:p>
        </w:tc>
        <w:tc>
          <w:tcPr>
            <w:tcW w:w="868" w:type="dxa"/>
            <w:gridSpan w:val="2"/>
            <w:vAlign w:val="top"/>
          </w:tcPr>
          <w:p w14:paraId="1D907B79">
            <w:pPr>
              <w:pStyle w:val="5"/>
              <w:spacing w:before="57" w:line="343" w:lineRule="auto"/>
              <w:ind w:left="176" w:right="149" w:hanging="4"/>
            </w:pPr>
            <w:r>
              <w:rPr>
                <w:spacing w:val="-10"/>
              </w:rPr>
              <w:t>运行</w:t>
            </w:r>
            <w:r>
              <w:t xml:space="preserve"> </w:t>
            </w:r>
            <w:r>
              <w:rPr>
                <w:spacing w:val="-12"/>
              </w:rPr>
              <w:t>情况</w:t>
            </w:r>
          </w:p>
        </w:tc>
        <w:tc>
          <w:tcPr>
            <w:tcW w:w="868" w:type="dxa"/>
            <w:gridSpan w:val="2"/>
            <w:vAlign w:val="top"/>
          </w:tcPr>
          <w:p w14:paraId="5401C472">
            <w:pPr>
              <w:pStyle w:val="5"/>
              <w:spacing w:before="57" w:line="343" w:lineRule="auto"/>
              <w:ind w:left="177" w:right="148" w:hanging="4"/>
            </w:pPr>
            <w:r>
              <w:rPr>
                <w:spacing w:val="-10"/>
              </w:rPr>
              <w:t>运行</w:t>
            </w:r>
            <w:r>
              <w:t xml:space="preserve"> </w:t>
            </w:r>
            <w:r>
              <w:rPr>
                <w:spacing w:val="-12"/>
              </w:rPr>
              <w:t>情况</w:t>
            </w:r>
          </w:p>
        </w:tc>
        <w:tc>
          <w:tcPr>
            <w:tcW w:w="868" w:type="dxa"/>
            <w:gridSpan w:val="2"/>
            <w:vAlign w:val="top"/>
          </w:tcPr>
          <w:p w14:paraId="1F50042A">
            <w:pPr>
              <w:pStyle w:val="5"/>
              <w:spacing w:before="57" w:line="343" w:lineRule="auto"/>
              <w:ind w:left="177" w:right="148" w:hanging="4"/>
            </w:pPr>
            <w:r>
              <w:rPr>
                <w:spacing w:val="-10"/>
              </w:rPr>
              <w:t>运行</w:t>
            </w:r>
            <w:r>
              <w:t xml:space="preserve"> </w:t>
            </w:r>
            <w:r>
              <w:rPr>
                <w:spacing w:val="-12"/>
              </w:rPr>
              <w:t>情况</w:t>
            </w:r>
          </w:p>
        </w:tc>
        <w:tc>
          <w:tcPr>
            <w:tcW w:w="868" w:type="dxa"/>
            <w:gridSpan w:val="2"/>
            <w:vAlign w:val="top"/>
          </w:tcPr>
          <w:p w14:paraId="13DBE344">
            <w:pPr>
              <w:pStyle w:val="5"/>
              <w:spacing w:before="57" w:line="343" w:lineRule="auto"/>
              <w:ind w:left="176" w:right="149" w:hanging="4"/>
            </w:pPr>
            <w:r>
              <w:rPr>
                <w:spacing w:val="-10"/>
              </w:rPr>
              <w:t>运行</w:t>
            </w:r>
            <w:r>
              <w:t xml:space="preserve"> </w:t>
            </w:r>
            <w:r>
              <w:rPr>
                <w:spacing w:val="-12"/>
              </w:rPr>
              <w:t>情况</w:t>
            </w:r>
          </w:p>
        </w:tc>
        <w:tc>
          <w:tcPr>
            <w:tcW w:w="869" w:type="dxa"/>
            <w:gridSpan w:val="2"/>
            <w:vAlign w:val="top"/>
          </w:tcPr>
          <w:p w14:paraId="555B04BD">
            <w:pPr>
              <w:pStyle w:val="5"/>
              <w:spacing w:before="57" w:line="343" w:lineRule="auto"/>
              <w:ind w:left="179" w:right="147" w:hanging="4"/>
            </w:pPr>
            <w:r>
              <w:rPr>
                <w:spacing w:val="-10"/>
              </w:rPr>
              <w:t>运行</w:t>
            </w:r>
            <w:r>
              <w:t xml:space="preserve"> </w:t>
            </w:r>
            <w:r>
              <w:rPr>
                <w:spacing w:val="-12"/>
              </w:rPr>
              <w:t>情况</w:t>
            </w:r>
          </w:p>
        </w:tc>
        <w:tc>
          <w:tcPr>
            <w:tcW w:w="869" w:type="dxa"/>
            <w:gridSpan w:val="2"/>
            <w:vAlign w:val="top"/>
          </w:tcPr>
          <w:p w14:paraId="25013912">
            <w:pPr>
              <w:pStyle w:val="5"/>
              <w:spacing w:before="57" w:line="343" w:lineRule="auto"/>
              <w:ind w:left="179" w:right="147" w:hanging="4"/>
            </w:pPr>
            <w:r>
              <w:rPr>
                <w:spacing w:val="-10"/>
              </w:rPr>
              <w:t>运行</w:t>
            </w:r>
            <w:r>
              <w:t xml:space="preserve"> </w:t>
            </w:r>
            <w:r>
              <w:rPr>
                <w:spacing w:val="-12"/>
              </w:rPr>
              <w:t>情况</w:t>
            </w:r>
          </w:p>
        </w:tc>
        <w:tc>
          <w:tcPr>
            <w:tcW w:w="868" w:type="dxa"/>
            <w:gridSpan w:val="2"/>
            <w:vAlign w:val="top"/>
          </w:tcPr>
          <w:p w14:paraId="1CA832FD">
            <w:pPr>
              <w:pStyle w:val="5"/>
              <w:spacing w:before="57" w:line="343" w:lineRule="auto"/>
              <w:ind w:left="179" w:right="146" w:hanging="4"/>
            </w:pPr>
            <w:r>
              <w:rPr>
                <w:spacing w:val="-10"/>
              </w:rPr>
              <w:t>运行</w:t>
            </w:r>
            <w:r>
              <w:t xml:space="preserve"> </w:t>
            </w:r>
            <w:r>
              <w:rPr>
                <w:spacing w:val="-12"/>
              </w:rPr>
              <w:t>情况</w:t>
            </w:r>
          </w:p>
        </w:tc>
        <w:tc>
          <w:tcPr>
            <w:tcW w:w="877" w:type="dxa"/>
            <w:gridSpan w:val="2"/>
            <w:vAlign w:val="top"/>
          </w:tcPr>
          <w:p w14:paraId="6D47EB26">
            <w:pPr>
              <w:pStyle w:val="5"/>
              <w:spacing w:before="58" w:line="343" w:lineRule="auto"/>
              <w:ind w:left="315" w:right="15" w:hanging="279"/>
            </w:pPr>
            <w:r>
              <w:rPr>
                <w:spacing w:val="-7"/>
              </w:rPr>
              <w:t>运行情</w:t>
            </w:r>
            <w:r>
              <w:t xml:space="preserve"> 况</w:t>
            </w:r>
          </w:p>
        </w:tc>
      </w:tr>
      <w:tr w14:paraId="360FA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0" w:hRule="atLeast"/>
        </w:trPr>
        <w:tc>
          <w:tcPr>
            <w:tcW w:w="1929" w:type="dxa"/>
            <w:vAlign w:val="top"/>
          </w:tcPr>
          <w:p w14:paraId="144D439D">
            <w:pPr>
              <w:pStyle w:val="5"/>
              <w:spacing w:before="331" w:line="223" w:lineRule="auto"/>
              <w:ind w:left="702"/>
            </w:pPr>
            <w:r>
              <w:rPr>
                <w:spacing w:val="-9"/>
              </w:rPr>
              <w:t>机组</w:t>
            </w:r>
          </w:p>
        </w:tc>
        <w:tc>
          <w:tcPr>
            <w:tcW w:w="434" w:type="dxa"/>
            <w:vAlign w:val="top"/>
          </w:tcPr>
          <w:p w14:paraId="56452D24">
            <w:pPr>
              <w:pStyle w:val="5"/>
              <w:spacing w:before="105" w:line="328" w:lineRule="auto"/>
              <w:ind w:left="122" w:right="130" w:firstLine="53"/>
            </w:pPr>
            <w:r>
              <w:rPr>
                <w:spacing w:val="-31"/>
              </w:rPr>
              <w:t>1</w:t>
            </w:r>
            <w:r>
              <w:t xml:space="preserve"> </w:t>
            </w:r>
            <w:r>
              <w:rPr>
                <w:spacing w:val="17"/>
                <w:w w:val="114"/>
              </w:rPr>
              <w:t>#</w:t>
            </w:r>
          </w:p>
        </w:tc>
        <w:tc>
          <w:tcPr>
            <w:tcW w:w="434" w:type="dxa"/>
            <w:vAlign w:val="top"/>
          </w:tcPr>
          <w:p w14:paraId="3D9CDB57">
            <w:pPr>
              <w:pStyle w:val="5"/>
              <w:spacing w:before="108" w:line="327" w:lineRule="auto"/>
              <w:ind w:left="120" w:right="132" w:firstLine="37"/>
            </w:pPr>
            <w:r>
              <w:rPr>
                <w:spacing w:val="-13"/>
              </w:rPr>
              <w:t>2</w:t>
            </w:r>
            <w:r>
              <w:t xml:space="preserve"> </w:t>
            </w:r>
            <w:r>
              <w:rPr>
                <w:spacing w:val="17"/>
                <w:w w:val="114"/>
              </w:rPr>
              <w:t>#</w:t>
            </w:r>
          </w:p>
        </w:tc>
        <w:tc>
          <w:tcPr>
            <w:tcW w:w="434" w:type="dxa"/>
            <w:vAlign w:val="top"/>
          </w:tcPr>
          <w:p w14:paraId="329D3221">
            <w:pPr>
              <w:pStyle w:val="5"/>
              <w:spacing w:before="105" w:line="328" w:lineRule="auto"/>
              <w:ind w:left="122" w:right="129" w:firstLine="53"/>
            </w:pPr>
            <w:r>
              <w:rPr>
                <w:spacing w:val="-31"/>
              </w:rPr>
              <w:t>1</w:t>
            </w:r>
            <w:r>
              <w:t xml:space="preserve"> </w:t>
            </w:r>
            <w:r>
              <w:rPr>
                <w:spacing w:val="17"/>
                <w:w w:val="114"/>
              </w:rPr>
              <w:t>#</w:t>
            </w:r>
          </w:p>
        </w:tc>
        <w:tc>
          <w:tcPr>
            <w:tcW w:w="434" w:type="dxa"/>
            <w:vAlign w:val="top"/>
          </w:tcPr>
          <w:p w14:paraId="16DEB349">
            <w:pPr>
              <w:pStyle w:val="5"/>
              <w:spacing w:before="108" w:line="327" w:lineRule="auto"/>
              <w:ind w:left="120" w:right="131" w:firstLine="37"/>
            </w:pPr>
            <w:r>
              <w:rPr>
                <w:spacing w:val="-13"/>
              </w:rPr>
              <w:t>2</w:t>
            </w:r>
            <w:r>
              <w:t xml:space="preserve"> </w:t>
            </w:r>
            <w:r>
              <w:rPr>
                <w:spacing w:val="17"/>
                <w:w w:val="114"/>
              </w:rPr>
              <w:t>#</w:t>
            </w:r>
          </w:p>
        </w:tc>
        <w:tc>
          <w:tcPr>
            <w:tcW w:w="434" w:type="dxa"/>
            <w:vAlign w:val="top"/>
          </w:tcPr>
          <w:p w14:paraId="3E50113D">
            <w:pPr>
              <w:pStyle w:val="5"/>
              <w:spacing w:before="105" w:line="328" w:lineRule="auto"/>
              <w:ind w:left="123" w:right="128" w:firstLine="53"/>
            </w:pPr>
            <w:r>
              <w:rPr>
                <w:spacing w:val="-31"/>
              </w:rPr>
              <w:t>1</w:t>
            </w:r>
            <w:r>
              <w:t xml:space="preserve"> </w:t>
            </w:r>
            <w:r>
              <w:rPr>
                <w:spacing w:val="17"/>
                <w:w w:val="114"/>
              </w:rPr>
              <w:t>#</w:t>
            </w:r>
          </w:p>
        </w:tc>
        <w:tc>
          <w:tcPr>
            <w:tcW w:w="434" w:type="dxa"/>
            <w:vAlign w:val="top"/>
          </w:tcPr>
          <w:p w14:paraId="655DE00D">
            <w:pPr>
              <w:pStyle w:val="5"/>
              <w:spacing w:before="108" w:line="327" w:lineRule="auto"/>
              <w:ind w:left="124" w:right="128" w:firstLine="35"/>
            </w:pPr>
            <w:r>
              <w:rPr>
                <w:spacing w:val="-13"/>
              </w:rPr>
              <w:t>2</w:t>
            </w:r>
            <w:r>
              <w:t xml:space="preserve"> </w:t>
            </w:r>
            <w:r>
              <w:rPr>
                <w:spacing w:val="17"/>
                <w:w w:val="114"/>
              </w:rPr>
              <w:t>#</w:t>
            </w:r>
          </w:p>
        </w:tc>
        <w:tc>
          <w:tcPr>
            <w:tcW w:w="433" w:type="dxa"/>
            <w:vAlign w:val="top"/>
          </w:tcPr>
          <w:p w14:paraId="5A2376DD">
            <w:pPr>
              <w:pStyle w:val="5"/>
              <w:spacing w:before="105" w:line="328" w:lineRule="auto"/>
              <w:ind w:left="122" w:right="129" w:firstLine="53"/>
            </w:pPr>
            <w:r>
              <w:rPr>
                <w:spacing w:val="-31"/>
              </w:rPr>
              <w:t>1</w:t>
            </w:r>
            <w:r>
              <w:t xml:space="preserve"> </w:t>
            </w:r>
            <w:r>
              <w:rPr>
                <w:spacing w:val="17"/>
                <w:w w:val="114"/>
              </w:rPr>
              <w:t>#</w:t>
            </w:r>
          </w:p>
        </w:tc>
        <w:tc>
          <w:tcPr>
            <w:tcW w:w="435" w:type="dxa"/>
            <w:vAlign w:val="top"/>
          </w:tcPr>
          <w:p w14:paraId="1287088E">
            <w:pPr>
              <w:pStyle w:val="5"/>
              <w:spacing w:before="108" w:line="327" w:lineRule="auto"/>
              <w:ind w:left="123" w:right="129" w:firstLine="35"/>
            </w:pPr>
            <w:r>
              <w:rPr>
                <w:spacing w:val="-13"/>
              </w:rPr>
              <w:t>2</w:t>
            </w:r>
            <w:r>
              <w:t xml:space="preserve"> </w:t>
            </w:r>
            <w:r>
              <w:rPr>
                <w:spacing w:val="17"/>
                <w:w w:val="114"/>
              </w:rPr>
              <w:t>#</w:t>
            </w:r>
          </w:p>
        </w:tc>
        <w:tc>
          <w:tcPr>
            <w:tcW w:w="434" w:type="dxa"/>
            <w:vAlign w:val="top"/>
          </w:tcPr>
          <w:p w14:paraId="48CEEDE1">
            <w:pPr>
              <w:pStyle w:val="5"/>
              <w:spacing w:before="105" w:line="328" w:lineRule="auto"/>
              <w:ind w:left="122" w:right="129" w:firstLine="55"/>
            </w:pPr>
            <w:r>
              <w:rPr>
                <w:spacing w:val="-31"/>
              </w:rPr>
              <w:t>1</w:t>
            </w:r>
            <w:r>
              <w:t xml:space="preserve"> </w:t>
            </w:r>
            <w:r>
              <w:rPr>
                <w:spacing w:val="17"/>
                <w:w w:val="114"/>
              </w:rPr>
              <w:t>#</w:t>
            </w:r>
          </w:p>
        </w:tc>
        <w:tc>
          <w:tcPr>
            <w:tcW w:w="435" w:type="dxa"/>
            <w:vAlign w:val="top"/>
          </w:tcPr>
          <w:p w14:paraId="77E0D224">
            <w:pPr>
              <w:pStyle w:val="5"/>
              <w:spacing w:before="108" w:line="327" w:lineRule="auto"/>
              <w:ind w:left="123" w:right="130" w:firstLine="35"/>
            </w:pPr>
            <w:r>
              <w:rPr>
                <w:spacing w:val="-13"/>
              </w:rPr>
              <w:t>2</w:t>
            </w:r>
            <w:r>
              <w:t xml:space="preserve"> </w:t>
            </w:r>
            <w:r>
              <w:rPr>
                <w:spacing w:val="17"/>
                <w:w w:val="114"/>
              </w:rPr>
              <w:t>#</w:t>
            </w:r>
          </w:p>
        </w:tc>
        <w:tc>
          <w:tcPr>
            <w:tcW w:w="434" w:type="dxa"/>
            <w:vAlign w:val="top"/>
          </w:tcPr>
          <w:p w14:paraId="23129C04">
            <w:pPr>
              <w:pStyle w:val="5"/>
              <w:spacing w:before="105" w:line="328" w:lineRule="auto"/>
              <w:ind w:left="125" w:right="127" w:firstLine="53"/>
            </w:pPr>
            <w:r>
              <w:rPr>
                <w:spacing w:val="-31"/>
              </w:rPr>
              <w:t>1</w:t>
            </w:r>
            <w:r>
              <w:t xml:space="preserve"> </w:t>
            </w:r>
            <w:r>
              <w:rPr>
                <w:spacing w:val="17"/>
                <w:w w:val="114"/>
              </w:rPr>
              <w:t>#</w:t>
            </w:r>
          </w:p>
        </w:tc>
        <w:tc>
          <w:tcPr>
            <w:tcW w:w="435" w:type="dxa"/>
            <w:vAlign w:val="top"/>
          </w:tcPr>
          <w:p w14:paraId="0E0B4F40">
            <w:pPr>
              <w:pStyle w:val="5"/>
              <w:spacing w:before="108" w:line="327" w:lineRule="auto"/>
              <w:ind w:left="123" w:right="130" w:firstLine="37"/>
            </w:pPr>
            <w:r>
              <w:rPr>
                <w:spacing w:val="-13"/>
              </w:rPr>
              <w:t>2</w:t>
            </w:r>
            <w:r>
              <w:t xml:space="preserve"> </w:t>
            </w:r>
            <w:r>
              <w:rPr>
                <w:spacing w:val="17"/>
                <w:w w:val="114"/>
              </w:rPr>
              <w:t>#</w:t>
            </w:r>
          </w:p>
        </w:tc>
        <w:tc>
          <w:tcPr>
            <w:tcW w:w="434" w:type="dxa"/>
            <w:vAlign w:val="top"/>
          </w:tcPr>
          <w:p w14:paraId="5EF9584B">
            <w:pPr>
              <w:pStyle w:val="5"/>
              <w:spacing w:before="105" w:line="328" w:lineRule="auto"/>
              <w:ind w:left="124" w:right="127" w:firstLine="53"/>
            </w:pPr>
            <w:r>
              <w:rPr>
                <w:spacing w:val="-31"/>
              </w:rPr>
              <w:t>1</w:t>
            </w:r>
            <w:r>
              <w:t xml:space="preserve"> </w:t>
            </w:r>
            <w:r>
              <w:rPr>
                <w:spacing w:val="17"/>
                <w:w w:val="114"/>
              </w:rPr>
              <w:t>#</w:t>
            </w:r>
          </w:p>
        </w:tc>
        <w:tc>
          <w:tcPr>
            <w:tcW w:w="434" w:type="dxa"/>
            <w:vAlign w:val="top"/>
          </w:tcPr>
          <w:p w14:paraId="1441CEDD">
            <w:pPr>
              <w:pStyle w:val="5"/>
              <w:spacing w:before="108" w:line="327" w:lineRule="auto"/>
              <w:ind w:left="122" w:right="129" w:firstLine="37"/>
            </w:pPr>
            <w:r>
              <w:rPr>
                <w:spacing w:val="-13"/>
              </w:rPr>
              <w:t>2</w:t>
            </w:r>
            <w:r>
              <w:t xml:space="preserve"> </w:t>
            </w:r>
            <w:r>
              <w:rPr>
                <w:spacing w:val="17"/>
                <w:w w:val="114"/>
              </w:rPr>
              <w:t>#</w:t>
            </w:r>
          </w:p>
        </w:tc>
        <w:tc>
          <w:tcPr>
            <w:tcW w:w="434" w:type="dxa"/>
            <w:vAlign w:val="top"/>
          </w:tcPr>
          <w:p w14:paraId="24C07F05">
            <w:pPr>
              <w:pStyle w:val="5"/>
              <w:spacing w:before="105" w:line="328" w:lineRule="auto"/>
              <w:ind w:left="123" w:right="129" w:firstLine="53"/>
            </w:pPr>
            <w:r>
              <w:rPr>
                <w:spacing w:val="-31"/>
              </w:rPr>
              <w:t>1</w:t>
            </w:r>
            <w:r>
              <w:t xml:space="preserve"> </w:t>
            </w:r>
            <w:r>
              <w:rPr>
                <w:spacing w:val="17"/>
                <w:w w:val="114"/>
              </w:rPr>
              <w:t>#</w:t>
            </w:r>
          </w:p>
        </w:tc>
        <w:tc>
          <w:tcPr>
            <w:tcW w:w="443" w:type="dxa"/>
            <w:vAlign w:val="top"/>
          </w:tcPr>
          <w:p w14:paraId="3C416AFF">
            <w:pPr>
              <w:pStyle w:val="5"/>
              <w:spacing w:before="108" w:line="327" w:lineRule="auto"/>
              <w:ind w:left="126" w:right="135" w:firstLine="35"/>
            </w:pPr>
            <w:r>
              <w:rPr>
                <w:spacing w:val="-13"/>
              </w:rPr>
              <w:t>2</w:t>
            </w:r>
            <w:r>
              <w:t xml:space="preserve"> </w:t>
            </w:r>
            <w:r>
              <w:rPr>
                <w:spacing w:val="17"/>
                <w:w w:val="114"/>
              </w:rPr>
              <w:t>#</w:t>
            </w:r>
          </w:p>
        </w:tc>
      </w:tr>
      <w:tr w14:paraId="00796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8" w:hRule="atLeast"/>
        </w:trPr>
        <w:tc>
          <w:tcPr>
            <w:tcW w:w="1929" w:type="dxa"/>
            <w:vAlign w:val="top"/>
          </w:tcPr>
          <w:p w14:paraId="24C8C68A">
            <w:pPr>
              <w:pStyle w:val="5"/>
              <w:spacing w:before="56" w:line="341" w:lineRule="auto"/>
              <w:ind w:left="141" w:right="138" w:firstLine="284"/>
            </w:pPr>
            <w:r>
              <w:rPr>
                <w:spacing w:val="-6"/>
              </w:rPr>
              <w:t>启动压力</w:t>
            </w:r>
            <w:r>
              <w:t xml:space="preserve">   </w:t>
            </w:r>
            <w:r>
              <w:rPr>
                <w:spacing w:val="-4"/>
              </w:rPr>
              <w:t>（0.030Mpa）</w:t>
            </w:r>
          </w:p>
        </w:tc>
        <w:tc>
          <w:tcPr>
            <w:tcW w:w="434" w:type="dxa"/>
            <w:vAlign w:val="top"/>
          </w:tcPr>
          <w:p w14:paraId="6D2BB55E">
            <w:pPr>
              <w:rPr>
                <w:rFonts w:ascii="Arial"/>
                <w:sz w:val="21"/>
              </w:rPr>
            </w:pPr>
          </w:p>
        </w:tc>
        <w:tc>
          <w:tcPr>
            <w:tcW w:w="434" w:type="dxa"/>
            <w:vAlign w:val="top"/>
          </w:tcPr>
          <w:p w14:paraId="3C61E1CE">
            <w:pPr>
              <w:rPr>
                <w:rFonts w:ascii="Arial"/>
                <w:sz w:val="21"/>
              </w:rPr>
            </w:pPr>
          </w:p>
        </w:tc>
        <w:tc>
          <w:tcPr>
            <w:tcW w:w="434" w:type="dxa"/>
            <w:vAlign w:val="top"/>
          </w:tcPr>
          <w:p w14:paraId="4C6C8DAF">
            <w:pPr>
              <w:rPr>
                <w:rFonts w:ascii="Arial"/>
                <w:sz w:val="21"/>
              </w:rPr>
            </w:pPr>
          </w:p>
        </w:tc>
        <w:tc>
          <w:tcPr>
            <w:tcW w:w="434" w:type="dxa"/>
            <w:vAlign w:val="top"/>
          </w:tcPr>
          <w:p w14:paraId="66A90D32">
            <w:pPr>
              <w:rPr>
                <w:rFonts w:ascii="Arial"/>
                <w:sz w:val="21"/>
              </w:rPr>
            </w:pPr>
          </w:p>
        </w:tc>
        <w:tc>
          <w:tcPr>
            <w:tcW w:w="434" w:type="dxa"/>
            <w:vAlign w:val="top"/>
          </w:tcPr>
          <w:p w14:paraId="272DCB70">
            <w:pPr>
              <w:rPr>
                <w:rFonts w:ascii="Arial"/>
                <w:sz w:val="21"/>
              </w:rPr>
            </w:pPr>
          </w:p>
        </w:tc>
        <w:tc>
          <w:tcPr>
            <w:tcW w:w="434" w:type="dxa"/>
            <w:vAlign w:val="top"/>
          </w:tcPr>
          <w:p w14:paraId="704D6A0F">
            <w:pPr>
              <w:rPr>
                <w:rFonts w:ascii="Arial"/>
                <w:sz w:val="21"/>
              </w:rPr>
            </w:pPr>
          </w:p>
        </w:tc>
        <w:tc>
          <w:tcPr>
            <w:tcW w:w="433" w:type="dxa"/>
            <w:vAlign w:val="top"/>
          </w:tcPr>
          <w:p w14:paraId="3EE59388">
            <w:pPr>
              <w:rPr>
                <w:rFonts w:ascii="Arial"/>
                <w:sz w:val="21"/>
              </w:rPr>
            </w:pPr>
          </w:p>
        </w:tc>
        <w:tc>
          <w:tcPr>
            <w:tcW w:w="435" w:type="dxa"/>
            <w:vAlign w:val="top"/>
          </w:tcPr>
          <w:p w14:paraId="52DB6A3E">
            <w:pPr>
              <w:rPr>
                <w:rFonts w:ascii="Arial"/>
                <w:sz w:val="21"/>
              </w:rPr>
            </w:pPr>
          </w:p>
        </w:tc>
        <w:tc>
          <w:tcPr>
            <w:tcW w:w="434" w:type="dxa"/>
            <w:vAlign w:val="top"/>
          </w:tcPr>
          <w:p w14:paraId="394BD4BD">
            <w:pPr>
              <w:rPr>
                <w:rFonts w:ascii="Arial"/>
                <w:sz w:val="21"/>
              </w:rPr>
            </w:pPr>
          </w:p>
        </w:tc>
        <w:tc>
          <w:tcPr>
            <w:tcW w:w="435" w:type="dxa"/>
            <w:vAlign w:val="top"/>
          </w:tcPr>
          <w:p w14:paraId="3E1B3483">
            <w:pPr>
              <w:rPr>
                <w:rFonts w:ascii="Arial"/>
                <w:sz w:val="21"/>
              </w:rPr>
            </w:pPr>
          </w:p>
        </w:tc>
        <w:tc>
          <w:tcPr>
            <w:tcW w:w="434" w:type="dxa"/>
            <w:vAlign w:val="top"/>
          </w:tcPr>
          <w:p w14:paraId="5A85AE95">
            <w:pPr>
              <w:rPr>
                <w:rFonts w:ascii="Arial"/>
                <w:sz w:val="21"/>
              </w:rPr>
            </w:pPr>
          </w:p>
        </w:tc>
        <w:tc>
          <w:tcPr>
            <w:tcW w:w="435" w:type="dxa"/>
            <w:vAlign w:val="top"/>
          </w:tcPr>
          <w:p w14:paraId="345A8478">
            <w:pPr>
              <w:rPr>
                <w:rFonts w:ascii="Arial"/>
                <w:sz w:val="21"/>
              </w:rPr>
            </w:pPr>
          </w:p>
        </w:tc>
        <w:tc>
          <w:tcPr>
            <w:tcW w:w="434" w:type="dxa"/>
            <w:vAlign w:val="top"/>
          </w:tcPr>
          <w:p w14:paraId="3B9E589A">
            <w:pPr>
              <w:rPr>
                <w:rFonts w:ascii="Arial"/>
                <w:sz w:val="21"/>
              </w:rPr>
            </w:pPr>
          </w:p>
        </w:tc>
        <w:tc>
          <w:tcPr>
            <w:tcW w:w="434" w:type="dxa"/>
            <w:vAlign w:val="top"/>
          </w:tcPr>
          <w:p w14:paraId="12C211A6">
            <w:pPr>
              <w:rPr>
                <w:rFonts w:ascii="Arial"/>
                <w:sz w:val="21"/>
              </w:rPr>
            </w:pPr>
          </w:p>
        </w:tc>
        <w:tc>
          <w:tcPr>
            <w:tcW w:w="434" w:type="dxa"/>
            <w:vAlign w:val="top"/>
          </w:tcPr>
          <w:p w14:paraId="06645FCA">
            <w:pPr>
              <w:rPr>
                <w:rFonts w:ascii="Arial"/>
                <w:sz w:val="21"/>
              </w:rPr>
            </w:pPr>
          </w:p>
        </w:tc>
        <w:tc>
          <w:tcPr>
            <w:tcW w:w="443" w:type="dxa"/>
            <w:vAlign w:val="top"/>
          </w:tcPr>
          <w:p w14:paraId="4E2CC9E7">
            <w:pPr>
              <w:rPr>
                <w:rFonts w:ascii="Arial"/>
                <w:sz w:val="21"/>
              </w:rPr>
            </w:pPr>
          </w:p>
        </w:tc>
      </w:tr>
      <w:tr w14:paraId="37532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9" w:hRule="atLeast"/>
        </w:trPr>
        <w:tc>
          <w:tcPr>
            <w:tcW w:w="1929" w:type="dxa"/>
            <w:vAlign w:val="top"/>
          </w:tcPr>
          <w:p w14:paraId="7F4C5BF4">
            <w:pPr>
              <w:pStyle w:val="5"/>
              <w:spacing w:before="58" w:line="340" w:lineRule="auto"/>
              <w:ind w:left="141" w:right="138" w:firstLine="282"/>
            </w:pPr>
            <w:r>
              <w:rPr>
                <w:spacing w:val="-5"/>
              </w:rPr>
              <w:t>停止压力</w:t>
            </w:r>
            <w:r>
              <w:t xml:space="preserve">   </w:t>
            </w:r>
            <w:r>
              <w:rPr>
                <w:spacing w:val="-4"/>
              </w:rPr>
              <w:t>（0.065Mpa）</w:t>
            </w:r>
          </w:p>
        </w:tc>
        <w:tc>
          <w:tcPr>
            <w:tcW w:w="434" w:type="dxa"/>
            <w:vAlign w:val="top"/>
          </w:tcPr>
          <w:p w14:paraId="23993AA2">
            <w:pPr>
              <w:rPr>
                <w:rFonts w:ascii="Arial"/>
                <w:sz w:val="21"/>
              </w:rPr>
            </w:pPr>
          </w:p>
        </w:tc>
        <w:tc>
          <w:tcPr>
            <w:tcW w:w="434" w:type="dxa"/>
            <w:vAlign w:val="top"/>
          </w:tcPr>
          <w:p w14:paraId="22939EA7">
            <w:pPr>
              <w:rPr>
                <w:rFonts w:ascii="Arial"/>
                <w:sz w:val="21"/>
              </w:rPr>
            </w:pPr>
          </w:p>
        </w:tc>
        <w:tc>
          <w:tcPr>
            <w:tcW w:w="434" w:type="dxa"/>
            <w:vAlign w:val="top"/>
          </w:tcPr>
          <w:p w14:paraId="4E9A566E">
            <w:pPr>
              <w:rPr>
                <w:rFonts w:ascii="Arial"/>
                <w:sz w:val="21"/>
              </w:rPr>
            </w:pPr>
          </w:p>
        </w:tc>
        <w:tc>
          <w:tcPr>
            <w:tcW w:w="434" w:type="dxa"/>
            <w:vAlign w:val="top"/>
          </w:tcPr>
          <w:p w14:paraId="3B0E5AC9">
            <w:pPr>
              <w:rPr>
                <w:rFonts w:ascii="Arial"/>
                <w:sz w:val="21"/>
              </w:rPr>
            </w:pPr>
          </w:p>
        </w:tc>
        <w:tc>
          <w:tcPr>
            <w:tcW w:w="434" w:type="dxa"/>
            <w:vAlign w:val="top"/>
          </w:tcPr>
          <w:p w14:paraId="5AE24AE9">
            <w:pPr>
              <w:rPr>
                <w:rFonts w:ascii="Arial"/>
                <w:sz w:val="21"/>
              </w:rPr>
            </w:pPr>
          </w:p>
        </w:tc>
        <w:tc>
          <w:tcPr>
            <w:tcW w:w="434" w:type="dxa"/>
            <w:vAlign w:val="top"/>
          </w:tcPr>
          <w:p w14:paraId="50F2B0D0">
            <w:pPr>
              <w:rPr>
                <w:rFonts w:ascii="Arial"/>
                <w:sz w:val="21"/>
              </w:rPr>
            </w:pPr>
          </w:p>
        </w:tc>
        <w:tc>
          <w:tcPr>
            <w:tcW w:w="433" w:type="dxa"/>
            <w:vAlign w:val="top"/>
          </w:tcPr>
          <w:p w14:paraId="681B63F0">
            <w:pPr>
              <w:rPr>
                <w:rFonts w:ascii="Arial"/>
                <w:sz w:val="21"/>
              </w:rPr>
            </w:pPr>
          </w:p>
        </w:tc>
        <w:tc>
          <w:tcPr>
            <w:tcW w:w="435" w:type="dxa"/>
            <w:vAlign w:val="top"/>
          </w:tcPr>
          <w:p w14:paraId="2799FC09">
            <w:pPr>
              <w:rPr>
                <w:rFonts w:ascii="Arial"/>
                <w:sz w:val="21"/>
              </w:rPr>
            </w:pPr>
          </w:p>
        </w:tc>
        <w:tc>
          <w:tcPr>
            <w:tcW w:w="434" w:type="dxa"/>
            <w:vAlign w:val="top"/>
          </w:tcPr>
          <w:p w14:paraId="6ECA8F84">
            <w:pPr>
              <w:rPr>
                <w:rFonts w:ascii="Arial"/>
                <w:sz w:val="21"/>
              </w:rPr>
            </w:pPr>
          </w:p>
        </w:tc>
        <w:tc>
          <w:tcPr>
            <w:tcW w:w="435" w:type="dxa"/>
            <w:vAlign w:val="top"/>
          </w:tcPr>
          <w:p w14:paraId="69E4FA50">
            <w:pPr>
              <w:rPr>
                <w:rFonts w:ascii="Arial"/>
                <w:sz w:val="21"/>
              </w:rPr>
            </w:pPr>
          </w:p>
        </w:tc>
        <w:tc>
          <w:tcPr>
            <w:tcW w:w="434" w:type="dxa"/>
            <w:vAlign w:val="top"/>
          </w:tcPr>
          <w:p w14:paraId="72052417">
            <w:pPr>
              <w:rPr>
                <w:rFonts w:ascii="Arial"/>
                <w:sz w:val="21"/>
              </w:rPr>
            </w:pPr>
          </w:p>
        </w:tc>
        <w:tc>
          <w:tcPr>
            <w:tcW w:w="435" w:type="dxa"/>
            <w:vAlign w:val="top"/>
          </w:tcPr>
          <w:p w14:paraId="4846CA03">
            <w:pPr>
              <w:rPr>
                <w:rFonts w:ascii="Arial"/>
                <w:sz w:val="21"/>
              </w:rPr>
            </w:pPr>
          </w:p>
        </w:tc>
        <w:tc>
          <w:tcPr>
            <w:tcW w:w="434" w:type="dxa"/>
            <w:vAlign w:val="top"/>
          </w:tcPr>
          <w:p w14:paraId="0C08F9B0">
            <w:pPr>
              <w:rPr>
                <w:rFonts w:ascii="Arial"/>
                <w:sz w:val="21"/>
              </w:rPr>
            </w:pPr>
          </w:p>
        </w:tc>
        <w:tc>
          <w:tcPr>
            <w:tcW w:w="434" w:type="dxa"/>
            <w:vAlign w:val="top"/>
          </w:tcPr>
          <w:p w14:paraId="4087F80D">
            <w:pPr>
              <w:rPr>
                <w:rFonts w:ascii="Arial"/>
                <w:sz w:val="21"/>
              </w:rPr>
            </w:pPr>
          </w:p>
        </w:tc>
        <w:tc>
          <w:tcPr>
            <w:tcW w:w="434" w:type="dxa"/>
            <w:vAlign w:val="top"/>
          </w:tcPr>
          <w:p w14:paraId="0005C060">
            <w:pPr>
              <w:rPr>
                <w:rFonts w:ascii="Arial"/>
                <w:sz w:val="21"/>
              </w:rPr>
            </w:pPr>
          </w:p>
        </w:tc>
        <w:tc>
          <w:tcPr>
            <w:tcW w:w="443" w:type="dxa"/>
            <w:vAlign w:val="top"/>
          </w:tcPr>
          <w:p w14:paraId="6E921E2C">
            <w:pPr>
              <w:rPr>
                <w:rFonts w:ascii="Arial"/>
                <w:sz w:val="21"/>
              </w:rPr>
            </w:pPr>
          </w:p>
        </w:tc>
      </w:tr>
      <w:tr w14:paraId="304EF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929" w:type="dxa"/>
            <w:vAlign w:val="top"/>
          </w:tcPr>
          <w:p w14:paraId="2380E68B">
            <w:pPr>
              <w:pStyle w:val="5"/>
              <w:spacing w:before="58" w:line="222" w:lineRule="auto"/>
              <w:ind w:left="420"/>
            </w:pPr>
            <w:r>
              <w:rPr>
                <w:spacing w:val="-5"/>
              </w:rPr>
              <w:t>水箱水位</w:t>
            </w:r>
          </w:p>
        </w:tc>
        <w:tc>
          <w:tcPr>
            <w:tcW w:w="434" w:type="dxa"/>
            <w:vAlign w:val="top"/>
          </w:tcPr>
          <w:p w14:paraId="327894F0">
            <w:pPr>
              <w:rPr>
                <w:rFonts w:ascii="Arial"/>
                <w:sz w:val="21"/>
              </w:rPr>
            </w:pPr>
          </w:p>
        </w:tc>
        <w:tc>
          <w:tcPr>
            <w:tcW w:w="434" w:type="dxa"/>
            <w:vAlign w:val="top"/>
          </w:tcPr>
          <w:p w14:paraId="4EA072A5">
            <w:pPr>
              <w:rPr>
                <w:rFonts w:ascii="Arial"/>
                <w:sz w:val="21"/>
              </w:rPr>
            </w:pPr>
          </w:p>
        </w:tc>
        <w:tc>
          <w:tcPr>
            <w:tcW w:w="434" w:type="dxa"/>
            <w:vAlign w:val="top"/>
          </w:tcPr>
          <w:p w14:paraId="249F98FC">
            <w:pPr>
              <w:rPr>
                <w:rFonts w:ascii="Arial"/>
                <w:sz w:val="21"/>
              </w:rPr>
            </w:pPr>
          </w:p>
        </w:tc>
        <w:tc>
          <w:tcPr>
            <w:tcW w:w="434" w:type="dxa"/>
            <w:vAlign w:val="top"/>
          </w:tcPr>
          <w:p w14:paraId="66B800A2">
            <w:pPr>
              <w:rPr>
                <w:rFonts w:ascii="Arial"/>
                <w:sz w:val="21"/>
              </w:rPr>
            </w:pPr>
          </w:p>
        </w:tc>
        <w:tc>
          <w:tcPr>
            <w:tcW w:w="434" w:type="dxa"/>
            <w:vAlign w:val="top"/>
          </w:tcPr>
          <w:p w14:paraId="283D1EA6">
            <w:pPr>
              <w:rPr>
                <w:rFonts w:ascii="Arial"/>
                <w:sz w:val="21"/>
              </w:rPr>
            </w:pPr>
          </w:p>
        </w:tc>
        <w:tc>
          <w:tcPr>
            <w:tcW w:w="434" w:type="dxa"/>
            <w:vAlign w:val="top"/>
          </w:tcPr>
          <w:p w14:paraId="22CFF31C">
            <w:pPr>
              <w:rPr>
                <w:rFonts w:ascii="Arial"/>
                <w:sz w:val="21"/>
              </w:rPr>
            </w:pPr>
          </w:p>
        </w:tc>
        <w:tc>
          <w:tcPr>
            <w:tcW w:w="433" w:type="dxa"/>
            <w:vAlign w:val="top"/>
          </w:tcPr>
          <w:p w14:paraId="1C14DA49">
            <w:pPr>
              <w:rPr>
                <w:rFonts w:ascii="Arial"/>
                <w:sz w:val="21"/>
              </w:rPr>
            </w:pPr>
          </w:p>
        </w:tc>
        <w:tc>
          <w:tcPr>
            <w:tcW w:w="435" w:type="dxa"/>
            <w:vAlign w:val="top"/>
          </w:tcPr>
          <w:p w14:paraId="1BCA8CA3">
            <w:pPr>
              <w:rPr>
                <w:rFonts w:ascii="Arial"/>
                <w:sz w:val="21"/>
              </w:rPr>
            </w:pPr>
          </w:p>
        </w:tc>
        <w:tc>
          <w:tcPr>
            <w:tcW w:w="434" w:type="dxa"/>
            <w:vAlign w:val="top"/>
          </w:tcPr>
          <w:p w14:paraId="695C3F07">
            <w:pPr>
              <w:rPr>
                <w:rFonts w:ascii="Arial"/>
                <w:sz w:val="21"/>
              </w:rPr>
            </w:pPr>
          </w:p>
        </w:tc>
        <w:tc>
          <w:tcPr>
            <w:tcW w:w="435" w:type="dxa"/>
            <w:vAlign w:val="top"/>
          </w:tcPr>
          <w:p w14:paraId="6035AF67">
            <w:pPr>
              <w:rPr>
                <w:rFonts w:ascii="Arial"/>
                <w:sz w:val="21"/>
              </w:rPr>
            </w:pPr>
          </w:p>
        </w:tc>
        <w:tc>
          <w:tcPr>
            <w:tcW w:w="434" w:type="dxa"/>
            <w:vAlign w:val="top"/>
          </w:tcPr>
          <w:p w14:paraId="5EF17489">
            <w:pPr>
              <w:rPr>
                <w:rFonts w:ascii="Arial"/>
                <w:sz w:val="21"/>
              </w:rPr>
            </w:pPr>
          </w:p>
        </w:tc>
        <w:tc>
          <w:tcPr>
            <w:tcW w:w="435" w:type="dxa"/>
            <w:vAlign w:val="top"/>
          </w:tcPr>
          <w:p w14:paraId="39B40B1E">
            <w:pPr>
              <w:rPr>
                <w:rFonts w:ascii="Arial"/>
                <w:sz w:val="21"/>
              </w:rPr>
            </w:pPr>
          </w:p>
        </w:tc>
        <w:tc>
          <w:tcPr>
            <w:tcW w:w="434" w:type="dxa"/>
            <w:vAlign w:val="top"/>
          </w:tcPr>
          <w:p w14:paraId="7543D4F4">
            <w:pPr>
              <w:rPr>
                <w:rFonts w:ascii="Arial"/>
                <w:sz w:val="21"/>
              </w:rPr>
            </w:pPr>
          </w:p>
        </w:tc>
        <w:tc>
          <w:tcPr>
            <w:tcW w:w="434" w:type="dxa"/>
            <w:vAlign w:val="top"/>
          </w:tcPr>
          <w:p w14:paraId="22B773CE">
            <w:pPr>
              <w:rPr>
                <w:rFonts w:ascii="Arial"/>
                <w:sz w:val="21"/>
              </w:rPr>
            </w:pPr>
          </w:p>
        </w:tc>
        <w:tc>
          <w:tcPr>
            <w:tcW w:w="434" w:type="dxa"/>
            <w:vAlign w:val="top"/>
          </w:tcPr>
          <w:p w14:paraId="7E716893">
            <w:pPr>
              <w:rPr>
                <w:rFonts w:ascii="Arial"/>
                <w:sz w:val="21"/>
              </w:rPr>
            </w:pPr>
          </w:p>
        </w:tc>
        <w:tc>
          <w:tcPr>
            <w:tcW w:w="443" w:type="dxa"/>
            <w:vAlign w:val="top"/>
          </w:tcPr>
          <w:p w14:paraId="0F020537">
            <w:pPr>
              <w:rPr>
                <w:rFonts w:ascii="Arial"/>
                <w:sz w:val="21"/>
              </w:rPr>
            </w:pPr>
          </w:p>
        </w:tc>
      </w:tr>
      <w:tr w14:paraId="4734D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3" w:hRule="atLeast"/>
        </w:trPr>
        <w:tc>
          <w:tcPr>
            <w:tcW w:w="1929" w:type="dxa"/>
            <w:vAlign w:val="top"/>
          </w:tcPr>
          <w:p w14:paraId="748047AB">
            <w:pPr>
              <w:pStyle w:val="5"/>
              <w:spacing w:before="58" w:line="224" w:lineRule="auto"/>
              <w:ind w:left="849"/>
            </w:pPr>
            <w:r>
              <w:t>负</w:t>
            </w:r>
          </w:p>
          <w:p w14:paraId="6E13BF84">
            <w:pPr>
              <w:pStyle w:val="5"/>
              <w:spacing w:before="203" w:line="222" w:lineRule="auto"/>
              <w:ind w:left="140"/>
            </w:pPr>
            <w:r>
              <w:rPr>
                <w:spacing w:val="-3"/>
              </w:rPr>
              <w:t>压机组控制箱</w:t>
            </w:r>
          </w:p>
          <w:p w14:paraId="1E277A4C">
            <w:pPr>
              <w:pStyle w:val="5"/>
              <w:spacing w:before="209" w:line="225" w:lineRule="auto"/>
              <w:ind w:left="702"/>
            </w:pPr>
            <w:r>
              <w:rPr>
                <w:spacing w:val="-9"/>
              </w:rPr>
              <w:t>状态</w:t>
            </w:r>
          </w:p>
        </w:tc>
        <w:tc>
          <w:tcPr>
            <w:tcW w:w="434" w:type="dxa"/>
            <w:vAlign w:val="top"/>
          </w:tcPr>
          <w:p w14:paraId="2368AAD2">
            <w:pPr>
              <w:rPr>
                <w:rFonts w:ascii="Arial"/>
                <w:sz w:val="21"/>
              </w:rPr>
            </w:pPr>
          </w:p>
        </w:tc>
        <w:tc>
          <w:tcPr>
            <w:tcW w:w="434" w:type="dxa"/>
            <w:vAlign w:val="top"/>
          </w:tcPr>
          <w:p w14:paraId="21416395">
            <w:pPr>
              <w:rPr>
                <w:rFonts w:ascii="Arial"/>
                <w:sz w:val="21"/>
              </w:rPr>
            </w:pPr>
          </w:p>
        </w:tc>
        <w:tc>
          <w:tcPr>
            <w:tcW w:w="434" w:type="dxa"/>
            <w:vAlign w:val="top"/>
          </w:tcPr>
          <w:p w14:paraId="478CC940">
            <w:pPr>
              <w:rPr>
                <w:rFonts w:ascii="Arial"/>
                <w:sz w:val="21"/>
              </w:rPr>
            </w:pPr>
          </w:p>
        </w:tc>
        <w:tc>
          <w:tcPr>
            <w:tcW w:w="434" w:type="dxa"/>
            <w:vAlign w:val="top"/>
          </w:tcPr>
          <w:p w14:paraId="181B6FF2">
            <w:pPr>
              <w:rPr>
                <w:rFonts w:ascii="Arial"/>
                <w:sz w:val="21"/>
              </w:rPr>
            </w:pPr>
          </w:p>
        </w:tc>
        <w:tc>
          <w:tcPr>
            <w:tcW w:w="434" w:type="dxa"/>
            <w:vAlign w:val="top"/>
          </w:tcPr>
          <w:p w14:paraId="099C179F">
            <w:pPr>
              <w:rPr>
                <w:rFonts w:ascii="Arial"/>
                <w:sz w:val="21"/>
              </w:rPr>
            </w:pPr>
          </w:p>
        </w:tc>
        <w:tc>
          <w:tcPr>
            <w:tcW w:w="434" w:type="dxa"/>
            <w:vAlign w:val="top"/>
          </w:tcPr>
          <w:p w14:paraId="731103E8">
            <w:pPr>
              <w:rPr>
                <w:rFonts w:ascii="Arial"/>
                <w:sz w:val="21"/>
              </w:rPr>
            </w:pPr>
          </w:p>
        </w:tc>
        <w:tc>
          <w:tcPr>
            <w:tcW w:w="433" w:type="dxa"/>
            <w:vAlign w:val="top"/>
          </w:tcPr>
          <w:p w14:paraId="160580CE">
            <w:pPr>
              <w:rPr>
                <w:rFonts w:ascii="Arial"/>
                <w:sz w:val="21"/>
              </w:rPr>
            </w:pPr>
          </w:p>
        </w:tc>
        <w:tc>
          <w:tcPr>
            <w:tcW w:w="435" w:type="dxa"/>
            <w:vAlign w:val="top"/>
          </w:tcPr>
          <w:p w14:paraId="4CF69AB5">
            <w:pPr>
              <w:rPr>
                <w:rFonts w:ascii="Arial"/>
                <w:sz w:val="21"/>
              </w:rPr>
            </w:pPr>
          </w:p>
        </w:tc>
        <w:tc>
          <w:tcPr>
            <w:tcW w:w="434" w:type="dxa"/>
            <w:vAlign w:val="top"/>
          </w:tcPr>
          <w:p w14:paraId="64196C02">
            <w:pPr>
              <w:rPr>
                <w:rFonts w:ascii="Arial"/>
                <w:sz w:val="21"/>
              </w:rPr>
            </w:pPr>
          </w:p>
        </w:tc>
        <w:tc>
          <w:tcPr>
            <w:tcW w:w="435" w:type="dxa"/>
            <w:vAlign w:val="top"/>
          </w:tcPr>
          <w:p w14:paraId="4258968A">
            <w:pPr>
              <w:rPr>
                <w:rFonts w:ascii="Arial"/>
                <w:sz w:val="21"/>
              </w:rPr>
            </w:pPr>
          </w:p>
        </w:tc>
        <w:tc>
          <w:tcPr>
            <w:tcW w:w="434" w:type="dxa"/>
            <w:vAlign w:val="top"/>
          </w:tcPr>
          <w:p w14:paraId="7DBF91BF">
            <w:pPr>
              <w:rPr>
                <w:rFonts w:ascii="Arial"/>
                <w:sz w:val="21"/>
              </w:rPr>
            </w:pPr>
          </w:p>
        </w:tc>
        <w:tc>
          <w:tcPr>
            <w:tcW w:w="435" w:type="dxa"/>
            <w:vAlign w:val="top"/>
          </w:tcPr>
          <w:p w14:paraId="3DC174E0">
            <w:pPr>
              <w:rPr>
                <w:rFonts w:ascii="Arial"/>
                <w:sz w:val="21"/>
              </w:rPr>
            </w:pPr>
          </w:p>
        </w:tc>
        <w:tc>
          <w:tcPr>
            <w:tcW w:w="434" w:type="dxa"/>
            <w:vAlign w:val="top"/>
          </w:tcPr>
          <w:p w14:paraId="6BC37D77">
            <w:pPr>
              <w:rPr>
                <w:rFonts w:ascii="Arial"/>
                <w:sz w:val="21"/>
              </w:rPr>
            </w:pPr>
          </w:p>
        </w:tc>
        <w:tc>
          <w:tcPr>
            <w:tcW w:w="434" w:type="dxa"/>
            <w:vAlign w:val="top"/>
          </w:tcPr>
          <w:p w14:paraId="1C67F521">
            <w:pPr>
              <w:rPr>
                <w:rFonts w:ascii="Arial"/>
                <w:sz w:val="21"/>
              </w:rPr>
            </w:pPr>
          </w:p>
        </w:tc>
        <w:tc>
          <w:tcPr>
            <w:tcW w:w="434" w:type="dxa"/>
            <w:vAlign w:val="top"/>
          </w:tcPr>
          <w:p w14:paraId="32C5E481">
            <w:pPr>
              <w:rPr>
                <w:rFonts w:ascii="Arial"/>
                <w:sz w:val="21"/>
              </w:rPr>
            </w:pPr>
          </w:p>
        </w:tc>
        <w:tc>
          <w:tcPr>
            <w:tcW w:w="443" w:type="dxa"/>
            <w:vAlign w:val="top"/>
          </w:tcPr>
          <w:p w14:paraId="553377D0">
            <w:pPr>
              <w:rPr>
                <w:rFonts w:ascii="Arial"/>
                <w:sz w:val="21"/>
              </w:rPr>
            </w:pPr>
          </w:p>
        </w:tc>
      </w:tr>
      <w:tr w14:paraId="29441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9" w:hRule="atLeast"/>
        </w:trPr>
        <w:tc>
          <w:tcPr>
            <w:tcW w:w="1929" w:type="dxa"/>
            <w:vAlign w:val="top"/>
          </w:tcPr>
          <w:p w14:paraId="7A168758">
            <w:pPr>
              <w:pStyle w:val="5"/>
              <w:spacing w:before="61" w:line="342" w:lineRule="auto"/>
              <w:ind w:left="332" w:right="121" w:hanging="184"/>
            </w:pPr>
            <w:r>
              <w:rPr>
                <w:spacing w:val="-5"/>
              </w:rPr>
              <w:t>负压机组排气</w:t>
            </w:r>
            <w:r>
              <w:rPr>
                <w:spacing w:val="2"/>
              </w:rPr>
              <w:t xml:space="preserve"> </w:t>
            </w:r>
            <w:r>
              <w:rPr>
                <w:spacing w:val="-14"/>
              </w:rPr>
              <w:t>口噪音情况</w:t>
            </w:r>
          </w:p>
        </w:tc>
        <w:tc>
          <w:tcPr>
            <w:tcW w:w="434" w:type="dxa"/>
            <w:vAlign w:val="top"/>
          </w:tcPr>
          <w:p w14:paraId="74300102">
            <w:pPr>
              <w:rPr>
                <w:rFonts w:ascii="Arial"/>
                <w:sz w:val="21"/>
              </w:rPr>
            </w:pPr>
          </w:p>
        </w:tc>
        <w:tc>
          <w:tcPr>
            <w:tcW w:w="434" w:type="dxa"/>
            <w:vAlign w:val="top"/>
          </w:tcPr>
          <w:p w14:paraId="56D8192E">
            <w:pPr>
              <w:rPr>
                <w:rFonts w:ascii="Arial"/>
                <w:sz w:val="21"/>
              </w:rPr>
            </w:pPr>
          </w:p>
        </w:tc>
        <w:tc>
          <w:tcPr>
            <w:tcW w:w="434" w:type="dxa"/>
            <w:vAlign w:val="top"/>
          </w:tcPr>
          <w:p w14:paraId="4F2F8840">
            <w:pPr>
              <w:rPr>
                <w:rFonts w:ascii="Arial"/>
                <w:sz w:val="21"/>
              </w:rPr>
            </w:pPr>
          </w:p>
        </w:tc>
        <w:tc>
          <w:tcPr>
            <w:tcW w:w="434" w:type="dxa"/>
            <w:vAlign w:val="top"/>
          </w:tcPr>
          <w:p w14:paraId="5D918C70">
            <w:pPr>
              <w:rPr>
                <w:rFonts w:ascii="Arial"/>
                <w:sz w:val="21"/>
              </w:rPr>
            </w:pPr>
          </w:p>
        </w:tc>
        <w:tc>
          <w:tcPr>
            <w:tcW w:w="434" w:type="dxa"/>
            <w:vAlign w:val="top"/>
          </w:tcPr>
          <w:p w14:paraId="6C27194A">
            <w:pPr>
              <w:rPr>
                <w:rFonts w:ascii="Arial"/>
                <w:sz w:val="21"/>
              </w:rPr>
            </w:pPr>
          </w:p>
        </w:tc>
        <w:tc>
          <w:tcPr>
            <w:tcW w:w="434" w:type="dxa"/>
            <w:vAlign w:val="top"/>
          </w:tcPr>
          <w:p w14:paraId="1618699F">
            <w:pPr>
              <w:rPr>
                <w:rFonts w:ascii="Arial"/>
                <w:sz w:val="21"/>
              </w:rPr>
            </w:pPr>
          </w:p>
        </w:tc>
        <w:tc>
          <w:tcPr>
            <w:tcW w:w="433" w:type="dxa"/>
            <w:vAlign w:val="top"/>
          </w:tcPr>
          <w:p w14:paraId="56FC14FE">
            <w:pPr>
              <w:rPr>
                <w:rFonts w:ascii="Arial"/>
                <w:sz w:val="21"/>
              </w:rPr>
            </w:pPr>
          </w:p>
        </w:tc>
        <w:tc>
          <w:tcPr>
            <w:tcW w:w="435" w:type="dxa"/>
            <w:vAlign w:val="top"/>
          </w:tcPr>
          <w:p w14:paraId="0473DFA3">
            <w:pPr>
              <w:rPr>
                <w:rFonts w:ascii="Arial"/>
                <w:sz w:val="21"/>
              </w:rPr>
            </w:pPr>
          </w:p>
        </w:tc>
        <w:tc>
          <w:tcPr>
            <w:tcW w:w="434" w:type="dxa"/>
            <w:vAlign w:val="top"/>
          </w:tcPr>
          <w:p w14:paraId="67847822">
            <w:pPr>
              <w:rPr>
                <w:rFonts w:ascii="Arial"/>
                <w:sz w:val="21"/>
              </w:rPr>
            </w:pPr>
          </w:p>
        </w:tc>
        <w:tc>
          <w:tcPr>
            <w:tcW w:w="435" w:type="dxa"/>
            <w:vAlign w:val="top"/>
          </w:tcPr>
          <w:p w14:paraId="7B89F902">
            <w:pPr>
              <w:rPr>
                <w:rFonts w:ascii="Arial"/>
                <w:sz w:val="21"/>
              </w:rPr>
            </w:pPr>
          </w:p>
        </w:tc>
        <w:tc>
          <w:tcPr>
            <w:tcW w:w="434" w:type="dxa"/>
            <w:vAlign w:val="top"/>
          </w:tcPr>
          <w:p w14:paraId="68A2EFDC">
            <w:pPr>
              <w:rPr>
                <w:rFonts w:ascii="Arial"/>
                <w:sz w:val="21"/>
              </w:rPr>
            </w:pPr>
          </w:p>
        </w:tc>
        <w:tc>
          <w:tcPr>
            <w:tcW w:w="435" w:type="dxa"/>
            <w:vAlign w:val="top"/>
          </w:tcPr>
          <w:p w14:paraId="2BEE451D">
            <w:pPr>
              <w:rPr>
                <w:rFonts w:ascii="Arial"/>
                <w:sz w:val="21"/>
              </w:rPr>
            </w:pPr>
          </w:p>
        </w:tc>
        <w:tc>
          <w:tcPr>
            <w:tcW w:w="434" w:type="dxa"/>
            <w:vAlign w:val="top"/>
          </w:tcPr>
          <w:p w14:paraId="0F0E9D61">
            <w:pPr>
              <w:rPr>
                <w:rFonts w:ascii="Arial"/>
                <w:sz w:val="21"/>
              </w:rPr>
            </w:pPr>
          </w:p>
        </w:tc>
        <w:tc>
          <w:tcPr>
            <w:tcW w:w="434" w:type="dxa"/>
            <w:vAlign w:val="top"/>
          </w:tcPr>
          <w:p w14:paraId="26F64708">
            <w:pPr>
              <w:rPr>
                <w:rFonts w:ascii="Arial"/>
                <w:sz w:val="21"/>
              </w:rPr>
            </w:pPr>
          </w:p>
        </w:tc>
        <w:tc>
          <w:tcPr>
            <w:tcW w:w="434" w:type="dxa"/>
            <w:vAlign w:val="top"/>
          </w:tcPr>
          <w:p w14:paraId="4677648C">
            <w:pPr>
              <w:rPr>
                <w:rFonts w:ascii="Arial"/>
                <w:sz w:val="21"/>
              </w:rPr>
            </w:pPr>
          </w:p>
        </w:tc>
        <w:tc>
          <w:tcPr>
            <w:tcW w:w="443" w:type="dxa"/>
            <w:vAlign w:val="top"/>
          </w:tcPr>
          <w:p w14:paraId="1D36CA9B">
            <w:pPr>
              <w:rPr>
                <w:rFonts w:ascii="Arial"/>
                <w:sz w:val="21"/>
              </w:rPr>
            </w:pPr>
          </w:p>
        </w:tc>
      </w:tr>
      <w:tr w14:paraId="418B4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2" w:hRule="atLeast"/>
        </w:trPr>
        <w:tc>
          <w:tcPr>
            <w:tcW w:w="8884" w:type="dxa"/>
            <w:gridSpan w:val="17"/>
            <w:vAlign w:val="top"/>
          </w:tcPr>
          <w:p w14:paraId="12B12A54">
            <w:pPr>
              <w:pStyle w:val="5"/>
              <w:spacing w:before="60" w:line="353" w:lineRule="auto"/>
              <w:ind w:left="34" w:right="13" w:firstLine="5"/>
              <w:jc w:val="both"/>
            </w:pPr>
            <w:r>
              <w:rPr>
                <w:spacing w:val="-11"/>
              </w:rPr>
              <w:t>注:“</w:t>
            </w:r>
            <w:r>
              <w:rPr>
                <w:spacing w:val="-63"/>
              </w:rPr>
              <w:t xml:space="preserve"> </w:t>
            </w:r>
            <w:r>
              <w:rPr>
                <w:spacing w:val="-11"/>
              </w:rPr>
              <w:t>√</w:t>
            </w:r>
            <w:r>
              <w:rPr>
                <w:spacing w:val="-102"/>
              </w:rPr>
              <w:t xml:space="preserve"> </w:t>
            </w:r>
            <w:r>
              <w:rPr>
                <w:spacing w:val="-11"/>
              </w:rPr>
              <w:t>”表示正常、“/</w:t>
            </w:r>
            <w:r>
              <w:rPr>
                <w:spacing w:val="-104"/>
              </w:rPr>
              <w:t xml:space="preserve"> </w:t>
            </w:r>
            <w:r>
              <w:rPr>
                <w:spacing w:val="-11"/>
              </w:rPr>
              <w:t>”表示正常待机</w:t>
            </w:r>
            <w:r>
              <w:rPr>
                <w:spacing w:val="-12"/>
              </w:rPr>
              <w:t>状态、“</w:t>
            </w:r>
            <w:r>
              <w:rPr>
                <w:spacing w:val="-88"/>
              </w:rPr>
              <w:t xml:space="preserve"> </w:t>
            </w:r>
            <w:r>
              <w:rPr>
                <w:spacing w:val="-12"/>
              </w:rPr>
              <w:t>×</w:t>
            </w:r>
            <w:r>
              <w:rPr>
                <w:spacing w:val="-103"/>
              </w:rPr>
              <w:t xml:space="preserve"> </w:t>
            </w:r>
            <w:r>
              <w:rPr>
                <w:spacing w:val="-12"/>
              </w:rPr>
              <w:t>”表示异常。二台真</w:t>
            </w:r>
            <w:r>
              <w:t xml:space="preserve"> </w:t>
            </w:r>
            <w:r>
              <w:rPr>
                <w:spacing w:val="-4"/>
              </w:rPr>
              <w:t>空泵为联动状态，运行主机依次自动切换，一台运行，一台待机。</w:t>
            </w:r>
            <w:r>
              <w:rPr>
                <w:spacing w:val="-5"/>
              </w:rPr>
              <w:t>真空泵</w:t>
            </w:r>
            <w:r>
              <w:t xml:space="preserve"> </w:t>
            </w:r>
            <w:r>
              <w:rPr>
                <w:spacing w:val="-4"/>
              </w:rPr>
              <w:t>的启动停止由管道上方的电接点式真空表控制，当前机组设置的启</w:t>
            </w:r>
            <w:r>
              <w:rPr>
                <w:spacing w:val="-5"/>
              </w:rPr>
              <w:t>动压力</w:t>
            </w:r>
            <w:r>
              <w:t xml:space="preserve"> </w:t>
            </w:r>
            <w:r>
              <w:rPr>
                <w:spacing w:val="-3"/>
              </w:rPr>
              <w:t>为：0.030Mpa、停止压力为：0.065Mpa。当班注</w:t>
            </w:r>
            <w:r>
              <w:rPr>
                <w:spacing w:val="-4"/>
              </w:rPr>
              <w:t>意检水箱水位，严禁无水</w:t>
            </w:r>
            <w:r>
              <w:t xml:space="preserve"> </w:t>
            </w:r>
            <w:r>
              <w:rPr>
                <w:spacing w:val="-6"/>
              </w:rPr>
              <w:t>运行；当真空泵运行有噪音时应打开排气孔排空；每月</w:t>
            </w:r>
            <w:r>
              <w:rPr>
                <w:spacing w:val="-33"/>
              </w:rPr>
              <w:t xml:space="preserve"> </w:t>
            </w:r>
            <w:r>
              <w:rPr>
                <w:spacing w:val="-6"/>
              </w:rPr>
              <w:t>1</w:t>
            </w:r>
            <w:r>
              <w:rPr>
                <w:spacing w:val="-46"/>
              </w:rPr>
              <w:t xml:space="preserve"> </w:t>
            </w:r>
            <w:r>
              <w:rPr>
                <w:spacing w:val="-6"/>
              </w:rPr>
              <w:t>号更换水箱内的</w:t>
            </w:r>
          </w:p>
          <w:p w14:paraId="6CD9100E">
            <w:pPr>
              <w:pStyle w:val="5"/>
              <w:spacing w:before="47" w:line="222" w:lineRule="auto"/>
              <w:ind w:left="3902"/>
            </w:pPr>
            <w:r>
              <w:rPr>
                <w:spacing w:val="-6"/>
              </w:rPr>
              <w:t>冷却水。</w:t>
            </w:r>
          </w:p>
        </w:tc>
      </w:tr>
    </w:tbl>
    <w:p w14:paraId="532B9700">
      <w:pPr>
        <w:spacing w:line="360" w:lineRule="auto"/>
        <w:rPr>
          <w:rFonts w:hint="eastAsia" w:ascii="仿宋" w:hAnsi="仿宋" w:eastAsia="仿宋" w:cs="仿宋"/>
          <w:sz w:val="32"/>
          <w:szCs w:val="32"/>
        </w:rPr>
      </w:pPr>
    </w:p>
    <w:sectPr>
      <w:footerReference r:id="rId5" w:type="default"/>
      <w:pgSz w:w="11906" w:h="16838"/>
      <w:pgMar w:top="1440" w:right="1463" w:bottom="1440" w:left="146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D3A5D">
    <w:pPr>
      <w:pStyle w:val="2"/>
      <w:spacing w:line="169" w:lineRule="auto"/>
      <w:ind w:left="4662"/>
      <w:rPr>
        <w:sz w:val="18"/>
        <w:szCs w:val="18"/>
      </w:rPr>
    </w:pPr>
    <w:r>
      <w:rPr>
        <w:sz w:val="18"/>
        <w:szCs w:val="18"/>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581E72"/>
    <w:rsid w:val="2D581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8"/>
      <w:szCs w:val="28"/>
      <w:lang w:val="en-US" w:eastAsia="en-US" w:bidi="ar-SA"/>
    </w:rPr>
  </w:style>
  <w:style w:type="paragraph" w:customStyle="1" w:styleId="5">
    <w:name w:val="Table Text"/>
    <w:basedOn w:val="1"/>
    <w:semiHidden/>
    <w:qFormat/>
    <w:uiPriority w:val="0"/>
    <w:rPr>
      <w:rFonts w:ascii="仿宋" w:hAnsi="仿宋" w:eastAsia="仿宋" w:cs="仿宋"/>
      <w:sz w:val="28"/>
      <w:szCs w:val="28"/>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2025-01-21T02:01:00Z</dcterms:created>
  <dc:creator>Administrator</dc:creator>
  <cp:lastModifiedBy>Administrator</cp:lastModifiedBy>
  <dcterms:modified xsi:type="dcterms:W3CDTF">2025-01-21T02:11:01Z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DF57A17BF4794CC3A10B3F2F17B33EA6_11</vt:lpwstr>
  </property>
  <property fmtid="{D5CDD505-2E9C-101B-9397-08002B2CF9AE}" pid="4" name="KSOTemplateDocerSaveRecord">
    <vt:lpwstr>eyJoZGlkIjoiNjQ3ZjNiNmJmZDExZDYwMDA0ZTJlYmRhOWMzMGUyOTEiLCJ1c2VySWQiOiIyODYxMzE5MTkifQ==</vt:lpwstr>
  </property>
</Properties>
</file>