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29ABF">
      <w:pPr>
        <w:pStyle w:val="2"/>
        <w:tabs>
          <w:tab w:val="left" w:pos="8280"/>
        </w:tabs>
        <w:spacing w:line="360" w:lineRule="auto"/>
        <w:outlineLvl w:val="0"/>
        <w:rPr>
          <w:rFonts w:hint="eastAsia" w:ascii="仿宋_GB2312" w:hAnsi="宋体" w:eastAsia="仿宋_GB2312"/>
          <w:sz w:val="52"/>
          <w:szCs w:val="52"/>
          <w:lang w:val="en-US" w:eastAsia="zh-CN"/>
        </w:rPr>
      </w:pPr>
    </w:p>
    <w:p w14:paraId="2BEAC783">
      <w:pPr>
        <w:pStyle w:val="2"/>
        <w:tabs>
          <w:tab w:val="left" w:pos="8280"/>
        </w:tabs>
        <w:spacing w:line="360" w:lineRule="auto"/>
        <w:outlineLvl w:val="0"/>
        <w:rPr>
          <w:rFonts w:hint="eastAsia" w:ascii="仿宋_GB2312" w:hAnsi="宋体" w:eastAsia="仿宋_GB2312"/>
          <w:sz w:val="52"/>
          <w:szCs w:val="52"/>
          <w:lang w:val="en-US" w:eastAsia="zh-CN"/>
        </w:rPr>
      </w:pPr>
    </w:p>
    <w:p w14:paraId="2685F4A3">
      <w:pPr>
        <w:pStyle w:val="2"/>
        <w:tabs>
          <w:tab w:val="left" w:pos="8280"/>
        </w:tabs>
        <w:spacing w:line="360" w:lineRule="auto"/>
        <w:outlineLvl w:val="0"/>
        <w:rPr>
          <w:rFonts w:hint="eastAsia" w:ascii="宋体" w:hAnsi="宋体" w:eastAsia="宋体" w:cs="宋体"/>
          <w:sz w:val="72"/>
          <w:szCs w:val="72"/>
        </w:rPr>
      </w:pPr>
      <w:r>
        <w:rPr>
          <w:rFonts w:hint="eastAsia" w:hAnsi="宋体" w:cs="宋体"/>
          <w:sz w:val="72"/>
          <w:szCs w:val="72"/>
          <w:lang w:val="en-US" w:eastAsia="zh-CN"/>
        </w:rPr>
        <w:t>议</w:t>
      </w:r>
      <w:r>
        <w:rPr>
          <w:rFonts w:hint="eastAsia" w:ascii="宋体" w:hAnsi="宋体" w:eastAsia="宋体" w:cs="宋体"/>
          <w:sz w:val="72"/>
          <w:szCs w:val="72"/>
          <w:lang w:val="en-US" w:eastAsia="zh-CN"/>
        </w:rPr>
        <w:t>价</w:t>
      </w:r>
      <w:r>
        <w:rPr>
          <w:rFonts w:hint="eastAsia" w:ascii="宋体" w:hAnsi="宋体" w:eastAsia="宋体" w:cs="宋体"/>
          <w:sz w:val="72"/>
          <w:szCs w:val="72"/>
        </w:rPr>
        <w:t>文件</w:t>
      </w:r>
    </w:p>
    <w:p w14:paraId="071EB3AB">
      <w:pPr>
        <w:tabs>
          <w:tab w:val="left" w:pos="8280"/>
        </w:tabs>
        <w:spacing w:line="360" w:lineRule="auto"/>
        <w:rPr>
          <w:rFonts w:hint="eastAsia" w:ascii="仿宋_GB2312" w:hAnsi="宋体" w:eastAsia="仿宋_GB2312"/>
          <w:sz w:val="28"/>
          <w:lang w:eastAsia="zh-CN"/>
        </w:rPr>
      </w:pPr>
    </w:p>
    <w:p w14:paraId="0778B8EC">
      <w:pPr>
        <w:tabs>
          <w:tab w:val="left" w:pos="8280"/>
        </w:tabs>
        <w:spacing w:line="360" w:lineRule="auto"/>
        <w:rPr>
          <w:rFonts w:hint="eastAsia" w:ascii="仿宋_GB2312" w:eastAsia="仿宋_GB2312"/>
          <w:b/>
          <w:color w:val="000000"/>
          <w:sz w:val="32"/>
          <w:szCs w:val="32"/>
          <w:lang w:val="zh-CN"/>
        </w:rPr>
      </w:pPr>
    </w:p>
    <w:p w14:paraId="4F7715B4">
      <w:pPr>
        <w:tabs>
          <w:tab w:val="left" w:pos="8280"/>
        </w:tabs>
        <w:spacing w:line="360" w:lineRule="auto"/>
        <w:ind w:firstLine="321" w:firstLineChars="100"/>
        <w:rPr>
          <w:rFonts w:hint="default" w:ascii="宋体" w:hAnsi="宋体" w:eastAsia="宋体" w:cs="宋体"/>
          <w:b/>
          <w:bCs w:val="0"/>
          <w:kern w:val="2"/>
          <w:sz w:val="40"/>
          <w:szCs w:val="40"/>
          <w:lang w:val="en-US" w:eastAsia="zh-CN" w:bidi="ar-SA"/>
        </w:rPr>
      </w:pPr>
      <w:r>
        <w:rPr>
          <w:rFonts w:hint="eastAsia" w:ascii="宋体" w:hAnsi="宋体" w:eastAsia="宋体" w:cs="宋体"/>
          <w:b/>
          <w:bCs w:val="0"/>
          <w:kern w:val="2"/>
          <w:sz w:val="32"/>
          <w:szCs w:val="32"/>
          <w:lang w:val="zh-CN" w:eastAsia="zh-CN" w:bidi="ar-SA"/>
        </w:rPr>
        <w:t>项目名称:</w:t>
      </w:r>
      <w:r>
        <w:rPr>
          <w:rFonts w:hint="eastAsia" w:ascii="宋体" w:hAnsi="宋体" w:eastAsia="宋体" w:cs="宋体"/>
          <w:b/>
          <w:bCs w:val="0"/>
          <w:kern w:val="2"/>
          <w:sz w:val="32"/>
          <w:szCs w:val="32"/>
          <w:lang w:val="en-US" w:eastAsia="zh-CN" w:bidi="ar-SA"/>
        </w:rPr>
        <w:t>万宁市中医院财务审计及内控审计项目</w:t>
      </w:r>
    </w:p>
    <w:p w14:paraId="7B06C0DE">
      <w:pPr>
        <w:pStyle w:val="20"/>
        <w:ind w:left="0" w:leftChars="0" w:firstLine="321" w:firstLineChars="100"/>
        <w:rPr>
          <w:rFonts w:hint="default"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项目编号：WNSZYY2025-CWK-01</w:t>
      </w:r>
    </w:p>
    <w:p w14:paraId="02181753">
      <w:pPr>
        <w:tabs>
          <w:tab w:val="left" w:pos="8280"/>
        </w:tabs>
        <w:spacing w:line="360" w:lineRule="auto"/>
        <w:jc w:val="center"/>
        <w:rPr>
          <w:rFonts w:ascii="仿宋_GB2312" w:hAnsi="宋体" w:eastAsia="仿宋_GB2312"/>
          <w:b/>
          <w:sz w:val="28"/>
        </w:rPr>
      </w:pPr>
    </w:p>
    <w:p w14:paraId="5083C232">
      <w:pPr>
        <w:tabs>
          <w:tab w:val="left" w:pos="8280"/>
        </w:tabs>
        <w:spacing w:line="360" w:lineRule="auto"/>
        <w:jc w:val="center"/>
        <w:rPr>
          <w:rFonts w:ascii="仿宋_GB2312" w:hAnsi="宋体" w:eastAsia="仿宋_GB2312"/>
          <w:b/>
          <w:sz w:val="28"/>
        </w:rPr>
      </w:pPr>
    </w:p>
    <w:p w14:paraId="4DF32CF2">
      <w:pPr>
        <w:tabs>
          <w:tab w:val="left" w:pos="8280"/>
        </w:tabs>
        <w:spacing w:line="360" w:lineRule="auto"/>
        <w:jc w:val="center"/>
        <w:rPr>
          <w:rFonts w:ascii="仿宋_GB2312" w:hAnsi="宋体" w:eastAsia="仿宋_GB2312"/>
          <w:b/>
          <w:sz w:val="28"/>
        </w:rPr>
      </w:pPr>
    </w:p>
    <w:p w14:paraId="7A1AEB64">
      <w:pPr>
        <w:tabs>
          <w:tab w:val="left" w:pos="8280"/>
        </w:tabs>
        <w:spacing w:line="360" w:lineRule="auto"/>
        <w:jc w:val="center"/>
        <w:rPr>
          <w:rFonts w:ascii="仿宋_GB2312" w:hAnsi="宋体" w:eastAsia="仿宋_GB2312"/>
          <w:b/>
          <w:sz w:val="28"/>
        </w:rPr>
      </w:pPr>
    </w:p>
    <w:p w14:paraId="19CDE7B4">
      <w:pPr>
        <w:tabs>
          <w:tab w:val="left" w:pos="8280"/>
        </w:tabs>
        <w:spacing w:line="360" w:lineRule="auto"/>
        <w:jc w:val="center"/>
        <w:rPr>
          <w:rFonts w:ascii="仿宋_GB2312" w:hAnsi="宋体" w:eastAsia="仿宋_GB2312"/>
          <w:b/>
          <w:sz w:val="28"/>
        </w:rPr>
      </w:pPr>
    </w:p>
    <w:p w14:paraId="011F5CE4">
      <w:pPr>
        <w:tabs>
          <w:tab w:val="left" w:pos="8280"/>
        </w:tabs>
        <w:spacing w:line="360" w:lineRule="auto"/>
        <w:jc w:val="center"/>
        <w:rPr>
          <w:rFonts w:ascii="仿宋_GB2312" w:hAnsi="宋体" w:eastAsia="仿宋_GB2312"/>
          <w:b/>
          <w:sz w:val="28"/>
        </w:rPr>
      </w:pPr>
    </w:p>
    <w:p w14:paraId="5E34B69E">
      <w:pPr>
        <w:tabs>
          <w:tab w:val="left" w:pos="8280"/>
        </w:tabs>
        <w:spacing w:line="360" w:lineRule="auto"/>
        <w:jc w:val="center"/>
        <w:rPr>
          <w:rFonts w:ascii="仿宋_GB2312" w:hAnsi="宋体" w:eastAsia="仿宋_GB2312"/>
          <w:b/>
          <w:sz w:val="28"/>
        </w:rPr>
      </w:pPr>
    </w:p>
    <w:p w14:paraId="5248B1FE">
      <w:pPr>
        <w:tabs>
          <w:tab w:val="left" w:pos="8280"/>
        </w:tabs>
        <w:spacing w:line="360" w:lineRule="auto"/>
        <w:jc w:val="center"/>
        <w:rPr>
          <w:rFonts w:ascii="仿宋_GB2312" w:hAnsi="宋体" w:eastAsia="仿宋_GB2312"/>
          <w:b/>
          <w:sz w:val="28"/>
        </w:rPr>
      </w:pPr>
    </w:p>
    <w:p w14:paraId="71DD1D1D">
      <w:pPr>
        <w:tabs>
          <w:tab w:val="left" w:pos="8280"/>
        </w:tabs>
        <w:spacing w:line="360" w:lineRule="auto"/>
        <w:jc w:val="center"/>
        <w:rPr>
          <w:rFonts w:ascii="仿宋_GB2312" w:hAnsi="宋体" w:eastAsia="仿宋_GB2312"/>
          <w:b/>
          <w:sz w:val="28"/>
        </w:rPr>
      </w:pPr>
    </w:p>
    <w:p w14:paraId="3F624773">
      <w:pPr>
        <w:tabs>
          <w:tab w:val="left" w:pos="8280"/>
        </w:tabs>
        <w:spacing w:line="360" w:lineRule="auto"/>
        <w:jc w:val="center"/>
        <w:rPr>
          <w:rFonts w:ascii="仿宋_GB2312" w:hAnsi="宋体" w:eastAsia="仿宋_GB2312"/>
          <w:b/>
          <w:sz w:val="28"/>
        </w:rPr>
      </w:pPr>
    </w:p>
    <w:p w14:paraId="14261586">
      <w:pPr>
        <w:pStyle w:val="8"/>
        <w:tabs>
          <w:tab w:val="left" w:pos="8280"/>
        </w:tabs>
        <w:spacing w:line="360" w:lineRule="auto"/>
        <w:jc w:val="both"/>
        <w:outlineLvl w:val="0"/>
        <w:rPr>
          <w:rFonts w:hint="eastAsia" w:ascii="仿宋_GB2312" w:hAnsi="宋体" w:eastAsia="仿宋_GB2312"/>
          <w:b/>
          <w:sz w:val="28"/>
          <w:szCs w:val="28"/>
          <w:lang w:eastAsia="zh-CN"/>
        </w:rPr>
      </w:pPr>
    </w:p>
    <w:p w14:paraId="6C961188">
      <w:pPr>
        <w:pStyle w:val="8"/>
        <w:tabs>
          <w:tab w:val="left" w:pos="8280"/>
        </w:tabs>
        <w:spacing w:line="360" w:lineRule="auto"/>
        <w:ind w:firstLine="5783" w:firstLineChars="1800"/>
        <w:jc w:val="both"/>
        <w:outlineLvl w:val="0"/>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万宁市中医院</w:t>
      </w:r>
    </w:p>
    <w:p w14:paraId="2E1D9CD0">
      <w:pPr>
        <w:pStyle w:val="8"/>
        <w:tabs>
          <w:tab w:val="left" w:pos="8280"/>
        </w:tabs>
        <w:spacing w:line="360" w:lineRule="auto"/>
        <w:ind w:firstLine="5783" w:firstLineChars="1800"/>
        <w:jc w:val="both"/>
        <w:outlineLvl w:val="0"/>
        <w:rPr>
          <w:rFonts w:hint="eastAsia" w:ascii="宋体" w:hAnsi="宋体" w:eastAsia="宋体" w:cs="宋体"/>
          <w:b/>
          <w:sz w:val="32"/>
          <w:szCs w:val="32"/>
          <w:lang w:val="en-US" w:eastAsia="zh-CN"/>
        </w:rPr>
        <w:sectPr>
          <w:footerReference r:id="rId3" w:type="default"/>
          <w:footerReference r:id="rId4" w:type="even"/>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r>
        <w:rPr>
          <w:rFonts w:hint="eastAsia" w:ascii="宋体" w:hAnsi="宋体" w:eastAsia="宋体" w:cs="宋体"/>
          <w:b/>
          <w:sz w:val="32"/>
          <w:szCs w:val="32"/>
          <w:lang w:val="en-US" w:eastAsia="zh-CN"/>
        </w:rPr>
        <w:t>2025年12月</w:t>
      </w:r>
    </w:p>
    <w:p w14:paraId="084FEB46">
      <w:pPr>
        <w:tabs>
          <w:tab w:val="left" w:pos="8280"/>
        </w:tabs>
        <w:spacing w:line="360" w:lineRule="auto"/>
        <w:jc w:val="center"/>
        <w:outlineLvl w:val="0"/>
        <w:rPr>
          <w:rFonts w:ascii="仿宋_GB2312" w:hAnsi="宋体" w:eastAsia="仿宋_GB2312"/>
          <w:sz w:val="44"/>
          <w:szCs w:val="44"/>
        </w:rPr>
      </w:pPr>
      <w:r>
        <w:rPr>
          <w:rFonts w:hint="eastAsia" w:ascii="仿宋_GB2312" w:hAnsi="宋体" w:eastAsia="仿宋_GB2312"/>
          <w:sz w:val="44"/>
          <w:szCs w:val="44"/>
        </w:rPr>
        <w:t>目  录</w:t>
      </w:r>
    </w:p>
    <w:p w14:paraId="3C00D61C">
      <w:pPr>
        <w:tabs>
          <w:tab w:val="left" w:pos="8280"/>
        </w:tabs>
        <w:spacing w:line="360" w:lineRule="auto"/>
        <w:jc w:val="center"/>
        <w:rPr>
          <w:rFonts w:ascii="仿宋_GB2312" w:hAnsi="宋体" w:eastAsia="仿宋_GB2312"/>
          <w:sz w:val="32"/>
          <w:szCs w:val="32"/>
        </w:rPr>
      </w:pPr>
    </w:p>
    <w:p w14:paraId="12507D45">
      <w:pPr>
        <w:tabs>
          <w:tab w:val="left" w:pos="8280"/>
        </w:tabs>
        <w:spacing w:line="360" w:lineRule="auto"/>
        <w:jc w:val="center"/>
        <w:rPr>
          <w:rFonts w:ascii="仿宋_GB2312" w:hAnsi="宋体" w:eastAsia="仿宋_GB2312"/>
          <w:sz w:val="32"/>
          <w:szCs w:val="32"/>
        </w:rPr>
      </w:pPr>
    </w:p>
    <w:p w14:paraId="755F20C3">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一</w:t>
      </w:r>
      <w:r>
        <w:rPr>
          <w:rFonts w:hint="eastAsia" w:ascii="仿宋_GB2312" w:hAnsi="宋体" w:eastAsia="仿宋_GB2312"/>
          <w:sz w:val="28"/>
          <w:szCs w:val="28"/>
        </w:rPr>
        <w:t>、</w:t>
      </w:r>
      <w:r>
        <w:rPr>
          <w:rFonts w:hint="eastAsia" w:ascii="仿宋_GB2312" w:hAnsi="宋体" w:eastAsia="仿宋_GB2312"/>
          <w:sz w:val="28"/>
          <w:szCs w:val="28"/>
          <w:lang w:val="en-US" w:eastAsia="zh-CN"/>
        </w:rPr>
        <w:t>项目</w:t>
      </w:r>
      <w:r>
        <w:rPr>
          <w:rFonts w:hint="eastAsia" w:ascii="仿宋_GB2312" w:eastAsia="仿宋_GB2312"/>
          <w:color w:val="000000"/>
          <w:sz w:val="28"/>
          <w:szCs w:val="28"/>
          <w:lang w:val="zh-CN"/>
        </w:rPr>
        <w:t>需求</w:t>
      </w:r>
      <w:r>
        <w:rPr>
          <w:rFonts w:hint="eastAsia" w:ascii="仿宋_GB2312" w:eastAsia="仿宋_GB2312"/>
          <w:color w:val="000000"/>
          <w:sz w:val="28"/>
          <w:szCs w:val="28"/>
          <w:lang w:val="en-US" w:eastAsia="zh-CN"/>
        </w:rPr>
        <w:t>书</w:t>
      </w:r>
      <w:r>
        <w:rPr>
          <w:rFonts w:hint="eastAsia" w:ascii="仿宋_GB2312" w:hAnsi="宋体" w:eastAsia="仿宋_GB2312"/>
          <w:sz w:val="28"/>
          <w:szCs w:val="28"/>
        </w:rPr>
        <w:t>………………………………………………………</w:t>
      </w:r>
      <w:r>
        <w:rPr>
          <w:rFonts w:hint="eastAsia" w:ascii="仿宋_GB2312" w:hAnsi="宋体" w:eastAsia="仿宋_GB2312"/>
          <w:sz w:val="28"/>
          <w:szCs w:val="28"/>
          <w:lang w:val="en-US" w:eastAsia="zh-CN"/>
        </w:rPr>
        <w:t>1</w:t>
      </w:r>
    </w:p>
    <w:p w14:paraId="4CA84D91">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二</w:t>
      </w:r>
      <w:r>
        <w:rPr>
          <w:rFonts w:hint="eastAsia" w:ascii="仿宋_GB2312" w:hAnsi="宋体" w:eastAsia="仿宋_GB2312"/>
          <w:sz w:val="28"/>
          <w:szCs w:val="28"/>
        </w:rPr>
        <w:t>、</w:t>
      </w:r>
      <w:r>
        <w:rPr>
          <w:rFonts w:hint="eastAsia" w:ascii="仿宋_GB2312" w:hAnsi="宋体" w:eastAsia="仿宋_GB2312"/>
          <w:sz w:val="28"/>
          <w:szCs w:val="28"/>
          <w:lang w:val="en-US" w:eastAsia="zh-CN"/>
        </w:rPr>
        <w:t>议价</w:t>
      </w:r>
      <w:r>
        <w:rPr>
          <w:rFonts w:hint="eastAsia" w:ascii="仿宋_GB2312" w:hAnsi="宋体" w:eastAsia="仿宋_GB2312"/>
          <w:bCs/>
          <w:sz w:val="28"/>
          <w:szCs w:val="28"/>
        </w:rPr>
        <w:t>须知</w:t>
      </w:r>
      <w:r>
        <w:rPr>
          <w:rFonts w:hint="eastAsia" w:ascii="仿宋_GB2312" w:hAnsi="宋体" w:eastAsia="仿宋_GB2312"/>
          <w:sz w:val="28"/>
          <w:szCs w:val="28"/>
        </w:rPr>
        <w:t>…………………………………………………………</w:t>
      </w:r>
      <w:r>
        <w:rPr>
          <w:rFonts w:hint="eastAsia" w:ascii="仿宋_GB2312" w:hAnsi="宋体" w:eastAsia="仿宋_GB2312"/>
          <w:sz w:val="28"/>
          <w:szCs w:val="28"/>
          <w:lang w:val="en-US" w:eastAsia="zh-CN"/>
        </w:rPr>
        <w:t>4</w:t>
      </w:r>
    </w:p>
    <w:p w14:paraId="4F8AF5C4">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三</w:t>
      </w:r>
      <w:r>
        <w:rPr>
          <w:rFonts w:hint="eastAsia" w:ascii="仿宋_GB2312" w:hAnsi="宋体" w:eastAsia="仿宋_GB2312"/>
          <w:sz w:val="28"/>
          <w:szCs w:val="28"/>
        </w:rPr>
        <w:t>、</w:t>
      </w:r>
      <w:r>
        <w:rPr>
          <w:rFonts w:hint="eastAsia" w:ascii="仿宋_GB2312" w:hAnsi="宋体" w:eastAsia="仿宋_GB2312"/>
          <w:sz w:val="28"/>
          <w:szCs w:val="28"/>
          <w:lang w:val="en-US" w:eastAsia="zh-CN"/>
        </w:rPr>
        <w:t>评审标准和方法</w:t>
      </w:r>
      <w:r>
        <w:rPr>
          <w:rFonts w:hint="eastAsia" w:ascii="仿宋_GB2312" w:hAnsi="宋体" w:eastAsia="仿宋_GB2312"/>
          <w:sz w:val="28"/>
          <w:szCs w:val="28"/>
        </w:rPr>
        <w:t>…………………………………………………</w:t>
      </w:r>
      <w:r>
        <w:rPr>
          <w:rFonts w:hint="eastAsia" w:ascii="仿宋_GB2312" w:hAnsi="宋体" w:eastAsia="仿宋_GB2312"/>
          <w:sz w:val="28"/>
          <w:szCs w:val="28"/>
          <w:lang w:val="en-US" w:eastAsia="zh-CN"/>
        </w:rPr>
        <w:t>8</w:t>
      </w:r>
    </w:p>
    <w:p w14:paraId="404FF05B">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四、最终报价一览表</w:t>
      </w:r>
      <w:r>
        <w:rPr>
          <w:rFonts w:hint="eastAsia" w:ascii="仿宋_GB2312" w:hAnsi="宋体" w:eastAsia="仿宋_GB2312"/>
          <w:sz w:val="28"/>
          <w:szCs w:val="28"/>
        </w:rPr>
        <w:t>…………………………………………………</w:t>
      </w:r>
      <w:r>
        <w:rPr>
          <w:rFonts w:hint="eastAsia" w:ascii="仿宋_GB2312" w:hAnsi="宋体" w:eastAsia="仿宋_GB2312"/>
          <w:sz w:val="28"/>
          <w:szCs w:val="28"/>
          <w:lang w:val="en-US" w:eastAsia="zh-CN"/>
        </w:rPr>
        <w:t>10</w:t>
      </w:r>
    </w:p>
    <w:p w14:paraId="2326A8C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40DD1712">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66A7BF2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59B6FCA">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7EC1C81">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7EBC9E45">
      <w:pPr>
        <w:tabs>
          <w:tab w:val="left" w:pos="8280"/>
        </w:tabs>
        <w:spacing w:line="360" w:lineRule="auto"/>
        <w:jc w:val="both"/>
        <w:rPr>
          <w:rFonts w:hint="eastAsia" w:ascii="仿宋_GB2312" w:hAnsi="宋体" w:eastAsia="仿宋_GB2312"/>
          <w:b/>
          <w:sz w:val="36"/>
          <w:szCs w:val="36"/>
          <w:lang w:val="en-US" w:eastAsia="zh-CN"/>
        </w:rPr>
        <w:sectPr>
          <w:pgSz w:w="11907" w:h="16840"/>
          <w:pgMar w:top="1247" w:right="1134" w:bottom="1247" w:left="1134" w:header="964" w:footer="851" w:gutter="0"/>
          <w:pgBorders>
            <w:top w:val="none" w:sz="0" w:space="0"/>
            <w:left w:val="none" w:sz="0" w:space="0"/>
            <w:bottom w:val="none" w:sz="0" w:space="0"/>
            <w:right w:val="none" w:sz="0" w:space="0"/>
          </w:pgBorders>
          <w:pgNumType w:fmt="decimal"/>
          <w:cols w:space="425" w:num="1"/>
          <w:docGrid w:type="lines" w:linePitch="312" w:charSpace="0"/>
        </w:sectPr>
      </w:pPr>
    </w:p>
    <w:p w14:paraId="4094C6A4">
      <w:pPr>
        <w:tabs>
          <w:tab w:val="left" w:pos="8280"/>
        </w:tabs>
        <w:spacing w:line="360" w:lineRule="auto"/>
        <w:jc w:val="center"/>
        <w:rPr>
          <w:rFonts w:hint="default" w:ascii="仿宋_GB2312" w:hAnsi="宋体" w:eastAsia="仿宋_GB2312"/>
          <w:b/>
          <w:sz w:val="36"/>
          <w:szCs w:val="36"/>
          <w:lang w:val="en-US" w:eastAsia="zh-CN"/>
        </w:rPr>
      </w:pPr>
      <w:r>
        <w:rPr>
          <w:rFonts w:hint="eastAsia" w:ascii="仿宋_GB2312" w:hAnsi="宋体" w:eastAsia="仿宋_GB2312"/>
          <w:b/>
          <w:bCs w:val="0"/>
          <w:sz w:val="36"/>
          <w:szCs w:val="36"/>
          <w:lang w:val="en-US" w:eastAsia="zh-CN"/>
        </w:rPr>
        <w:t>第一章 项目需求书</w:t>
      </w:r>
    </w:p>
    <w:p w14:paraId="591BD903">
      <w:pPr>
        <w:keepNext/>
        <w:keepLines/>
        <w:widowControl w:val="0"/>
        <w:spacing w:before="120" w:beforeLines="50" w:line="360" w:lineRule="auto"/>
        <w:ind w:left="0" w:firstLine="0" w:firstLineChars="0"/>
        <w:jc w:val="both"/>
        <w:outlineLvl w:val="1"/>
        <w:rPr>
          <w:rFonts w:ascii="仿宋_GB2312" w:hAnsi="仿宋_GB2312" w:eastAsia="仿宋_GB2312" w:cs="仿宋_GB2312"/>
          <w:b/>
          <w:bCs/>
          <w:color w:val="auto"/>
          <w:kern w:val="2"/>
          <w:sz w:val="28"/>
          <w:szCs w:val="28"/>
          <w:lang w:val="en-US" w:eastAsia="zh-CN" w:bidi="ar-SA"/>
        </w:rPr>
      </w:pPr>
      <w:bookmarkStart w:id="0" w:name="_Toc1203"/>
      <w:bookmarkStart w:id="1" w:name="_Toc30266"/>
      <w:r>
        <w:rPr>
          <w:rFonts w:hint="eastAsia" w:ascii="仿宋_GB2312" w:hAnsi="仿宋_GB2312" w:eastAsia="仿宋_GB2312" w:cs="仿宋_GB2312"/>
          <w:b/>
          <w:bCs/>
          <w:color w:val="auto"/>
          <w:kern w:val="2"/>
          <w:sz w:val="28"/>
          <w:szCs w:val="28"/>
          <w:lang w:val="en-US" w:eastAsia="zh-CN" w:bidi="ar-SA"/>
        </w:rPr>
        <w:t>一、项目概况</w:t>
      </w:r>
      <w:bookmarkEnd w:id="0"/>
      <w:bookmarkEnd w:id="1"/>
    </w:p>
    <w:p w14:paraId="31ACCD04">
      <w:pPr>
        <w:adjustRightInd w:val="0"/>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bookmarkStart w:id="2" w:name="_Toc30744"/>
      <w:bookmarkStart w:id="3" w:name="_Toc24385"/>
      <w:r>
        <w:rPr>
          <w:rFonts w:hint="eastAsia" w:ascii="仿宋_GB2312" w:hAnsi="仿宋_GB2312" w:eastAsia="仿宋_GB2312" w:cs="仿宋_GB2312"/>
          <w:color w:val="auto"/>
          <w:sz w:val="28"/>
          <w:szCs w:val="28"/>
          <w:lang w:val="en-US" w:eastAsia="zh-CN"/>
        </w:rPr>
        <w:t>项目名称：</w:t>
      </w:r>
      <w:r>
        <w:rPr>
          <w:rFonts w:hint="eastAsia" w:ascii="仿宋_GB2312" w:eastAsia="仿宋_GB2312"/>
          <w:color w:val="000000"/>
          <w:sz w:val="28"/>
          <w:szCs w:val="24"/>
          <w:u w:val="single"/>
          <w:lang w:val="zh-CN"/>
        </w:rPr>
        <w:t>万宁市中医院</w:t>
      </w:r>
      <w:r>
        <w:rPr>
          <w:rFonts w:hint="eastAsia" w:ascii="仿宋_GB2312" w:eastAsia="仿宋_GB2312"/>
          <w:color w:val="000000"/>
          <w:sz w:val="28"/>
          <w:szCs w:val="24"/>
          <w:u w:val="single"/>
          <w:lang w:val="en-US" w:eastAsia="zh-CN"/>
        </w:rPr>
        <w:t>财务审计及内控</w:t>
      </w:r>
      <w:r>
        <w:rPr>
          <w:rFonts w:hint="eastAsia" w:ascii="仿宋_GB2312" w:eastAsia="仿宋_GB2312"/>
          <w:color w:val="000000"/>
          <w:sz w:val="28"/>
          <w:szCs w:val="24"/>
          <w:u w:val="single"/>
          <w:lang w:val="zh-CN"/>
        </w:rPr>
        <w:t>审计</w:t>
      </w:r>
      <w:r>
        <w:rPr>
          <w:rFonts w:hint="eastAsia" w:ascii="仿宋_GB2312" w:eastAsia="仿宋_GB2312"/>
          <w:color w:val="000000"/>
          <w:sz w:val="28"/>
          <w:szCs w:val="24"/>
          <w:u w:val="single"/>
          <w:lang w:val="en-US" w:eastAsia="zh-CN"/>
        </w:rPr>
        <w:t>项目</w:t>
      </w:r>
    </w:p>
    <w:p w14:paraId="2F0C3497">
      <w:pPr>
        <w:adjustRightInd w:val="0"/>
        <w:snapToGrid w:val="0"/>
        <w:spacing w:line="360" w:lineRule="auto"/>
        <w:ind w:firstLine="560" w:firstLineChars="200"/>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内容：</w:t>
      </w:r>
      <w:r>
        <w:rPr>
          <w:rFonts w:hint="eastAsia" w:ascii="仿宋_GB2312" w:hAnsi="仿宋_GB2312" w:eastAsia="仿宋_GB2312" w:cs="仿宋_GB2312"/>
          <w:color w:val="auto"/>
          <w:sz w:val="28"/>
          <w:szCs w:val="28"/>
          <w:u w:val="single"/>
          <w:lang w:val="en-US" w:eastAsia="zh-CN"/>
        </w:rPr>
        <w:t>万宁市中医院</w:t>
      </w:r>
      <w:r>
        <w:rPr>
          <w:rFonts w:hint="eastAsia" w:ascii="仿宋_GB2312" w:eastAsia="仿宋_GB2312"/>
          <w:color w:val="000000"/>
          <w:sz w:val="28"/>
          <w:szCs w:val="24"/>
          <w:u w:val="single"/>
          <w:lang w:val="en-US" w:eastAsia="zh-CN"/>
        </w:rPr>
        <w:t>2024年度财务审计，2019年1月至2022年2月内控审计</w:t>
      </w:r>
      <w:r>
        <w:rPr>
          <w:rFonts w:hint="eastAsia" w:ascii="仿宋_GB2312" w:eastAsia="仿宋_GB2312"/>
          <w:color w:val="000000"/>
          <w:sz w:val="28"/>
          <w:szCs w:val="24"/>
          <w:highlight w:val="none"/>
          <w:u w:val="single"/>
          <w:lang w:val="en-US" w:eastAsia="zh-CN"/>
        </w:rPr>
        <w:t>，2022年3月至2025年10月内控审计。</w:t>
      </w:r>
    </w:p>
    <w:p w14:paraId="485B6E09">
      <w:pPr>
        <w:snapToGrid w:val="0"/>
        <w:spacing w:line="360" w:lineRule="auto"/>
        <w:ind w:firstLine="560" w:firstLineChars="200"/>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lang w:val="en-US" w:eastAsia="zh-CN"/>
        </w:rPr>
        <w:t>项目</w:t>
      </w: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lang w:val="en-US" w:eastAsia="zh-CN"/>
        </w:rPr>
        <w:t>万宁市中医院</w:t>
      </w:r>
    </w:p>
    <w:p w14:paraId="43AAA3BE">
      <w:pPr>
        <w:snapToGrid w:val="0"/>
        <w:spacing w:line="360" w:lineRule="auto"/>
        <w:ind w:firstLine="560" w:firstLineChars="200"/>
        <w:rPr>
          <w:rFonts w:hint="default" w:ascii="仿宋_GB2312" w:hAnsi="仿宋_GB2312" w:eastAsia="仿宋_GB2312" w:cs="仿宋_GB2312"/>
          <w:b w:val="0"/>
          <w:bCs w:val="0"/>
          <w:color w:val="auto"/>
          <w:sz w:val="28"/>
          <w:highlight w:val="none"/>
          <w:u w:val="single"/>
          <w:lang w:val="en-US" w:eastAsia="zh-CN"/>
        </w:rPr>
      </w:pPr>
      <w:r>
        <w:rPr>
          <w:rFonts w:hint="eastAsia" w:ascii="仿宋_GB2312" w:hAnsi="仿宋_GB2312" w:eastAsia="仿宋_GB2312" w:cs="仿宋_GB2312"/>
          <w:b w:val="0"/>
          <w:bCs w:val="0"/>
          <w:color w:val="auto"/>
          <w:sz w:val="28"/>
          <w:szCs w:val="32"/>
          <w:highlight w:val="none"/>
          <w:lang w:val="en-US" w:eastAsia="zh-CN"/>
        </w:rPr>
        <w:t>项目金额：</w:t>
      </w:r>
      <w:r>
        <w:rPr>
          <w:rFonts w:hint="eastAsia" w:ascii="仿宋_GB2312" w:hAnsi="仿宋_GB2312" w:eastAsia="仿宋_GB2312" w:cs="仿宋_GB2312"/>
          <w:b w:val="0"/>
          <w:bCs w:val="0"/>
          <w:color w:val="auto"/>
          <w:sz w:val="28"/>
          <w:szCs w:val="32"/>
          <w:highlight w:val="none"/>
          <w:u w:val="single"/>
          <w:lang w:val="en-US" w:eastAsia="zh-CN"/>
        </w:rPr>
        <w:t>58000.00</w:t>
      </w:r>
      <w:r>
        <w:rPr>
          <w:rFonts w:hint="eastAsia" w:ascii="Calibri Light" w:hAnsi="仿宋_GB2312" w:eastAsia="仿宋_GB2312" w:cs="仿宋_GB2312"/>
          <w:b w:val="0"/>
          <w:bCs w:val="0"/>
          <w:color w:val="auto"/>
          <w:sz w:val="28"/>
          <w:szCs w:val="32"/>
          <w:highlight w:val="none"/>
          <w:u w:val="single"/>
          <w:lang w:val="en-US" w:eastAsia="zh-CN"/>
        </w:rPr>
        <w:t>元</w:t>
      </w:r>
    </w:p>
    <w:bookmarkEnd w:id="2"/>
    <w:bookmarkEnd w:id="3"/>
    <w:p w14:paraId="085B386C">
      <w:pPr>
        <w:spacing w:line="360" w:lineRule="auto"/>
        <w:ind w:left="0" w:leftChars="0" w:firstLine="0" w:firstLineChars="0"/>
        <w:rPr>
          <w:rFonts w:hint="eastAsia" w:ascii="仿宋_GB2312" w:hAnsi="Calibri" w:eastAsia="仿宋_GB2312" w:cs="Times New Roman"/>
          <w:b/>
          <w:bCs/>
          <w:sz w:val="28"/>
          <w:highlight w:val="none"/>
        </w:rPr>
      </w:pPr>
      <w:r>
        <w:rPr>
          <w:rFonts w:hint="eastAsia" w:ascii="仿宋_GB2312" w:hAnsi="Calibri" w:eastAsia="仿宋_GB2312" w:cs="Times New Roman"/>
          <w:b/>
          <w:bCs/>
          <w:sz w:val="28"/>
          <w:highlight w:val="none"/>
          <w:lang w:val="en-US" w:eastAsia="zh-CN"/>
        </w:rPr>
        <w:t>二</w:t>
      </w:r>
      <w:r>
        <w:rPr>
          <w:rFonts w:hint="eastAsia" w:ascii="仿宋_GB2312" w:hAnsi="Calibri" w:eastAsia="仿宋_GB2312" w:cs="Times New Roman"/>
          <w:b/>
          <w:bCs/>
          <w:sz w:val="28"/>
          <w:highlight w:val="none"/>
        </w:rPr>
        <w:t>、服务要求 (以下服务内容产生的费用应包含本次报价中)</w:t>
      </w:r>
    </w:p>
    <w:p w14:paraId="19442B6A">
      <w:pPr>
        <w:spacing w:line="360" w:lineRule="auto"/>
        <w:ind w:firstLine="560" w:firstLineChars="200"/>
        <w:rPr>
          <w:rFonts w:hint="default" w:ascii="仿宋_GB2312" w:hAnsi="Calibri" w:eastAsia="仿宋_GB2312" w:cs="Times New Roman"/>
          <w:sz w:val="28"/>
          <w:highlight w:val="none"/>
          <w:lang w:val="en-US" w:eastAsia="zh-CN"/>
        </w:rPr>
      </w:pPr>
      <w:r>
        <w:rPr>
          <w:rFonts w:hint="eastAsia" w:ascii="仿宋_GB2312" w:hAnsi="Calibri" w:eastAsia="仿宋_GB2312" w:cs="Times New Roman"/>
          <w:sz w:val="28"/>
          <w:highlight w:val="none"/>
        </w:rPr>
        <w:t xml:space="preserve">(一) </w:t>
      </w:r>
      <w:r>
        <w:rPr>
          <w:rFonts w:hint="eastAsia" w:ascii="仿宋_GB2312" w:hAnsi="Calibri" w:eastAsia="仿宋_GB2312" w:cs="Times New Roman"/>
          <w:sz w:val="28"/>
          <w:highlight w:val="none"/>
          <w:lang w:val="en-US" w:eastAsia="zh-CN"/>
        </w:rPr>
        <w:t>审计年限</w:t>
      </w:r>
    </w:p>
    <w:p w14:paraId="646A90F3">
      <w:pPr>
        <w:spacing w:line="360" w:lineRule="auto"/>
        <w:ind w:firstLine="560" w:firstLineChars="200"/>
        <w:rPr>
          <w:rFonts w:hint="eastAsia" w:ascii="仿宋_GB2312" w:hAnsi="Calibri" w:eastAsia="仿宋_GB2312" w:cs="Times New Roman"/>
          <w:sz w:val="28"/>
          <w:highlight w:val="none"/>
        </w:rPr>
      </w:pPr>
      <w:r>
        <w:rPr>
          <w:rFonts w:hint="eastAsia" w:ascii="仿宋_GB2312" w:hAnsi="Calibri" w:eastAsia="仿宋_GB2312" w:cs="Times New Roman"/>
          <w:sz w:val="28"/>
          <w:highlight w:val="none"/>
        </w:rPr>
        <w:t>审计年限为：2019年1月1日—2024年</w:t>
      </w:r>
      <w:r>
        <w:rPr>
          <w:rFonts w:hint="eastAsia" w:ascii="仿宋_GB2312" w:hAnsi="Calibri" w:eastAsia="仿宋_GB2312" w:cs="Times New Roman"/>
          <w:sz w:val="28"/>
          <w:highlight w:val="none"/>
          <w:lang w:val="en-US" w:eastAsia="zh-CN"/>
        </w:rPr>
        <w:t>12</w:t>
      </w:r>
      <w:r>
        <w:rPr>
          <w:rFonts w:hint="eastAsia" w:ascii="仿宋_GB2312" w:hAnsi="Calibri" w:eastAsia="仿宋_GB2312" w:cs="Times New Roman"/>
          <w:sz w:val="28"/>
          <w:highlight w:val="none"/>
        </w:rPr>
        <w:t>月3</w:t>
      </w:r>
      <w:r>
        <w:rPr>
          <w:rFonts w:hint="eastAsia" w:ascii="仿宋_GB2312" w:hAnsi="Calibri" w:eastAsia="仿宋_GB2312" w:cs="Times New Roman"/>
          <w:sz w:val="28"/>
          <w:highlight w:val="none"/>
          <w:lang w:val="en-US" w:eastAsia="zh-CN"/>
        </w:rPr>
        <w:t>1</w:t>
      </w:r>
      <w:r>
        <w:rPr>
          <w:rFonts w:hint="eastAsia" w:ascii="仿宋_GB2312" w:hAnsi="Calibri" w:eastAsia="仿宋_GB2312" w:cs="Times New Roman"/>
          <w:sz w:val="28"/>
          <w:highlight w:val="none"/>
        </w:rPr>
        <w:t>日</w:t>
      </w:r>
    </w:p>
    <w:p w14:paraId="3BDEA852">
      <w:pPr>
        <w:numPr>
          <w:ilvl w:val="0"/>
          <w:numId w:val="3"/>
        </w:numPr>
        <w:spacing w:line="360" w:lineRule="auto"/>
        <w:ind w:firstLine="560" w:firstLineChars="200"/>
        <w:rPr>
          <w:rFonts w:hint="eastAsia" w:ascii="仿宋_GB2312" w:hAnsi="Calibri" w:eastAsia="仿宋_GB2312" w:cs="Times New Roman"/>
          <w:kern w:val="2"/>
          <w:sz w:val="28"/>
          <w:szCs w:val="22"/>
          <w:highlight w:val="none"/>
          <w:lang w:val="en-US" w:eastAsia="zh-CN" w:bidi="ar-SA"/>
        </w:rPr>
      </w:pPr>
      <w:r>
        <w:rPr>
          <w:rFonts w:hint="eastAsia" w:ascii="仿宋_GB2312" w:hAnsi="Calibri" w:eastAsia="仿宋_GB2312" w:cs="Times New Roman"/>
          <w:kern w:val="2"/>
          <w:sz w:val="28"/>
          <w:szCs w:val="22"/>
          <w:highlight w:val="none"/>
          <w:lang w:val="en-US" w:eastAsia="zh-CN" w:bidi="ar-SA"/>
        </w:rPr>
        <w:t>服务内容：</w:t>
      </w:r>
    </w:p>
    <w:p w14:paraId="029D7316">
      <w:pPr>
        <w:widowControl w:val="0"/>
        <w:numPr>
          <w:ilvl w:val="0"/>
          <w:numId w:val="0"/>
        </w:numPr>
        <w:spacing w:line="360" w:lineRule="auto"/>
        <w:ind w:leftChars="400" w:firstLine="560" w:firstLineChars="200"/>
        <w:contextualSpacing/>
        <w:jc w:val="both"/>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按照中国注册会计师审计准则，依据《关于印发&lt;行政事业单位内部控制规范(试行)&gt;的通知》（财会〔2012〕21号）、《公立医院内部控制管理办法》（国卫财务发〔2020〕31号）、《关于印发&lt;关于进一步加强公立医院内部控制建设的指导意见&gt;的通知》（财会〔2023〕31号）、《关于进一步做好公立医院内部控制建设工作的通知（征求意见稿）》等精神的有关要求，对我院进行包括但不限于2024年度财务报表审计；2019年1月至2022年2月期间内部控制专项审计、2022年3月至2025年10月期间内部控制专项审计（包括“三重一大”、预算业务管理、收支业务管理、采购业务管理、基建项目管理、资产管理、财务管理、合同管理等方面）。评价财务报表的总体列报、结构和内容，梳理医院各类业务的执行情况，查找医院内部控制、预算编制、物资采购和固定资产管理、基建项目、合同管理等业务实际执行中存在的问题，进一步规范管理，加强医院内部风险防范，确保医院各项活动符合国家法律法规要求，有效提高医院管理效能，堵塞风险管控漏洞，促进廉政建设、提高资金使用效率、规范和加业务层面内部控制能力。</w:t>
      </w:r>
    </w:p>
    <w:p w14:paraId="130E28C8">
      <w:pPr>
        <w:spacing w:line="360" w:lineRule="auto"/>
        <w:ind w:firstLine="560" w:firstLineChars="200"/>
        <w:rPr>
          <w:rFonts w:hint="eastAsia" w:ascii="仿宋_GB2312" w:hAnsi="Calibri" w:eastAsia="仿宋_GB2312" w:cs="Times New Roman"/>
          <w:sz w:val="28"/>
          <w:highlight w:val="none"/>
        </w:rPr>
      </w:pPr>
      <w:r>
        <w:rPr>
          <w:rFonts w:hint="eastAsia" w:ascii="仿宋_GB2312" w:hAnsi="Calibri" w:eastAsia="仿宋_GB2312" w:cs="Times New Roman"/>
          <w:sz w:val="28"/>
        </w:rPr>
        <w:t>(三) 审计时</w:t>
      </w:r>
      <w:r>
        <w:rPr>
          <w:rFonts w:hint="eastAsia" w:ascii="仿宋_GB2312" w:hAnsi="Calibri" w:eastAsia="仿宋_GB2312" w:cs="Times New Roman"/>
          <w:sz w:val="28"/>
          <w:highlight w:val="none"/>
        </w:rPr>
        <w:t>限及人员、报告要求：</w:t>
      </w:r>
    </w:p>
    <w:p w14:paraId="35D3BDD4">
      <w:pPr>
        <w:spacing w:line="360" w:lineRule="auto"/>
        <w:ind w:firstLine="560" w:firstLineChars="200"/>
        <w:rPr>
          <w:rFonts w:hint="eastAsia" w:ascii="仿宋_GB2312" w:hAnsi="Calibri" w:eastAsia="仿宋_GB2312" w:cs="Times New Roman"/>
          <w:sz w:val="28"/>
          <w:highlight w:val="none"/>
        </w:rPr>
      </w:pPr>
      <w:r>
        <w:rPr>
          <w:rFonts w:hint="eastAsia" w:ascii="仿宋_GB2312" w:hAnsi="Calibri" w:eastAsia="仿宋_GB2312" w:cs="Times New Roman"/>
          <w:sz w:val="28"/>
          <w:highlight w:val="none"/>
        </w:rPr>
        <w:t>1、审计工作时限：进场之日起</w:t>
      </w:r>
      <w:r>
        <w:rPr>
          <w:rFonts w:hint="eastAsia" w:ascii="仿宋_GB2312" w:hAnsi="Calibri" w:eastAsia="仿宋_GB2312" w:cs="Times New Roman"/>
          <w:sz w:val="28"/>
          <w:highlight w:val="none"/>
          <w:lang w:val="en-US" w:eastAsia="zh-CN"/>
        </w:rPr>
        <w:t>6</w:t>
      </w:r>
      <w:r>
        <w:rPr>
          <w:rFonts w:hint="eastAsia" w:ascii="仿宋_GB2312" w:hAnsi="Calibri" w:eastAsia="仿宋_GB2312" w:cs="Times New Roman"/>
          <w:sz w:val="28"/>
          <w:highlight w:val="none"/>
        </w:rPr>
        <w:t>0个工作日（含出具审计报告在内）。</w:t>
      </w:r>
    </w:p>
    <w:p w14:paraId="67D19F4C">
      <w:pPr>
        <w:spacing w:line="360" w:lineRule="auto"/>
        <w:ind w:firstLine="560" w:firstLineChars="200"/>
        <w:rPr>
          <w:rFonts w:hint="eastAsia" w:ascii="仿宋_GB2312" w:hAnsi="Calibri" w:eastAsia="仿宋_GB2312" w:cs="Times New Roman"/>
          <w:sz w:val="28"/>
          <w:highlight w:val="none"/>
        </w:rPr>
      </w:pPr>
      <w:r>
        <w:rPr>
          <w:rFonts w:hint="eastAsia" w:ascii="仿宋_GB2312" w:hAnsi="Calibri" w:eastAsia="仿宋_GB2312" w:cs="Times New Roman"/>
          <w:sz w:val="28"/>
          <w:highlight w:val="none"/>
        </w:rPr>
        <w:t>2、审计小组人员要求：响应文件中，投标人拟派出的审计组人员，不少于2人，应具有一定工作经验：其中注册会计师至少1人，其余具有会计、审计、经济等相关专业中级职称至少1人，并提供相关执业或资格证书、劳动关系证明的复印件，并盖公章确认。</w:t>
      </w:r>
    </w:p>
    <w:p w14:paraId="11809999">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highlight w:val="none"/>
        </w:rPr>
        <w:t>3、审计工作其他要求：中标后，供应商按审计时间进度和审计内容制定审</w:t>
      </w:r>
      <w:r>
        <w:rPr>
          <w:rFonts w:hint="eastAsia" w:ascii="仿宋_GB2312" w:hAnsi="Calibri" w:eastAsia="仿宋_GB2312" w:cs="Times New Roman"/>
          <w:sz w:val="28"/>
        </w:rPr>
        <w:t>计实施方案，并在规定时限内向采购人出具一式四份审计报告。</w:t>
      </w:r>
    </w:p>
    <w:p w14:paraId="3C499726">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4、审计小组人员一经指派，不得随意变动。如遇特殊原因确需变动，必须事先征得采购人同意。供应商所提供的专业人员在服务期内，若发现不能胜任工作、违反采购人的工作纪律等情况，采购人有权要求供应商调换相关专业人员。</w:t>
      </w:r>
    </w:p>
    <w:p w14:paraId="611F5CCC">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5、供应商对审计过程中知悉的商业秘密负有保密责任，除法律法规另有规定外，未经采购人同意，供应商不得将审计报告及采购人提供的资料泄露给采购人之外的第三人。</w:t>
      </w:r>
    </w:p>
    <w:p w14:paraId="27B52730">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6、本项目不接受联合体报价。本项目中标后不得转包，一经发现，采购人有权立即终止合同。</w:t>
      </w:r>
    </w:p>
    <w:p w14:paraId="0F1BEEAB">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7、单位负责人为同一人或存在直接管理或控股的不同供应商，不得同时参加本次采购相关活动。</w:t>
      </w:r>
    </w:p>
    <w:p w14:paraId="580176D1">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8、不在国家企业信用信息公示系统的经营异常名录或严重违法失信名单之列。</w:t>
      </w:r>
    </w:p>
    <w:p w14:paraId="67F9D638">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(四) 审计服务验收标准</w:t>
      </w:r>
    </w:p>
    <w:p w14:paraId="5642DB32">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以征求医院意见后出具正式审计报告为准。</w:t>
      </w:r>
    </w:p>
    <w:p w14:paraId="25D88AC9">
      <w:pPr>
        <w:spacing w:line="360" w:lineRule="auto"/>
        <w:ind w:firstLine="560" w:firstLineChars="200"/>
        <w:rPr>
          <w:rFonts w:hint="eastAsia" w:ascii="仿宋_GB2312" w:hAnsi="Calibri" w:eastAsia="仿宋_GB2312" w:cs="Times New Roman"/>
          <w:sz w:val="28"/>
          <w:lang w:eastAsia="zh-CN"/>
        </w:rPr>
      </w:pPr>
      <w:r>
        <w:rPr>
          <w:rFonts w:hint="eastAsia" w:ascii="仿宋_GB2312" w:hAnsi="Calibri" w:eastAsia="仿宋_GB2312" w:cs="Times New Roman"/>
          <w:sz w:val="28"/>
        </w:rPr>
        <w:t xml:space="preserve">(五) </w:t>
      </w:r>
      <w:r>
        <w:rPr>
          <w:rFonts w:hint="eastAsia" w:ascii="仿宋_GB2312" w:hAnsi="Calibri" w:eastAsia="仿宋_GB2312" w:cs="Times New Roman"/>
          <w:sz w:val="28"/>
          <w:lang w:val="en-US" w:eastAsia="zh-CN"/>
        </w:rPr>
        <w:t>费用结算</w:t>
      </w:r>
    </w:p>
    <w:p w14:paraId="31E19295">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 xml:space="preserve">根据采购双方商定的结算方式付款。                                                         </w:t>
      </w:r>
    </w:p>
    <w:p w14:paraId="4869F636">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(六) 其他要求</w:t>
      </w:r>
    </w:p>
    <w:p w14:paraId="0F11C554">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1.一方严重违约造成合同无法履行时，守约方有权解除合同，违约方应按合同未履行价款部分的20%支付违约金。</w:t>
      </w:r>
    </w:p>
    <w:p w14:paraId="583FC70B">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2.</w:t>
      </w:r>
      <w:r>
        <w:rPr>
          <w:rFonts w:hint="eastAsia" w:ascii="仿宋_GB2312" w:hAnsi="Calibri" w:eastAsia="仿宋_GB2312" w:cs="Times New Roman"/>
          <w:sz w:val="28"/>
          <w:lang w:val="en-US" w:eastAsia="zh-CN"/>
        </w:rPr>
        <w:t>若供应商出具的审计报告因不具有真实性、合法性、完整性、公允性等原因，未通过财政部门的认可，限期予以改正，若供应商拒绝改正或改正后仍未被财政部门认可的，供应商退还全部费用，造成损失的予以赔偿。</w:t>
      </w:r>
      <w:r>
        <w:rPr>
          <w:rFonts w:hint="eastAsia" w:ascii="仿宋_GB2312" w:hAnsi="Calibri" w:eastAsia="仿宋_GB2312" w:cs="Times New Roman"/>
          <w:sz w:val="28"/>
        </w:rPr>
        <w:t xml:space="preserve">                 </w:t>
      </w:r>
    </w:p>
    <w:p w14:paraId="086C1922">
      <w:pPr>
        <w:spacing w:line="360" w:lineRule="auto"/>
        <w:ind w:firstLine="560" w:firstLineChars="200"/>
        <w:rPr>
          <w:rFonts w:hint="eastAsia" w:ascii="仿宋_GB2312" w:hAnsi="Calibri" w:eastAsia="仿宋_GB2312" w:cs="Times New Roman"/>
          <w:sz w:val="28"/>
          <w:lang w:val="en-US" w:eastAsia="zh-CN"/>
        </w:rPr>
      </w:pPr>
      <w:r>
        <w:rPr>
          <w:rFonts w:hint="eastAsia" w:ascii="仿宋_GB2312" w:hAnsi="Calibri" w:eastAsia="仿宋_GB2312" w:cs="Times New Roman"/>
          <w:sz w:val="28"/>
        </w:rPr>
        <w:t>3.供应商</w:t>
      </w:r>
      <w:r>
        <w:rPr>
          <w:rFonts w:hint="eastAsia" w:ascii="仿宋_GB2312" w:hAnsi="Calibri" w:eastAsia="仿宋_GB2312" w:cs="Times New Roman"/>
          <w:sz w:val="28"/>
          <w:lang w:val="en-US" w:eastAsia="zh-CN"/>
        </w:rPr>
        <w:t>应</w:t>
      </w:r>
      <w:r>
        <w:rPr>
          <w:rFonts w:hint="eastAsia" w:ascii="仿宋_GB2312" w:hAnsi="Calibri" w:eastAsia="仿宋_GB2312" w:cs="Times New Roman"/>
          <w:sz w:val="28"/>
        </w:rPr>
        <w:t>按照《中国注册会计师审计准则第1501号—审计报告》和《中国注册会计师审计准则第1502号—非标准审计报告》规定的格式和类型出具审计报告</w:t>
      </w:r>
      <w:r>
        <w:rPr>
          <w:rFonts w:hint="eastAsia" w:ascii="仿宋_GB2312" w:hAnsi="Calibri" w:eastAsia="仿宋_GB2312" w:cs="Times New Roman"/>
          <w:sz w:val="28"/>
          <w:lang w:eastAsia="zh-CN"/>
        </w:rPr>
        <w:t>。</w:t>
      </w:r>
    </w:p>
    <w:p w14:paraId="2E5E1CE1">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sz w:val="28"/>
        </w:rPr>
        <w:t>4.供应商逾期</w:t>
      </w:r>
      <w:r>
        <w:rPr>
          <w:rFonts w:hint="eastAsia" w:ascii="仿宋_GB2312" w:hAnsi="Calibri" w:eastAsia="仿宋_GB2312" w:cs="Times New Roman"/>
          <w:sz w:val="28"/>
          <w:lang w:val="en-US" w:eastAsia="zh-CN"/>
        </w:rPr>
        <w:t>完成此项目工作内容</w:t>
      </w:r>
      <w:r>
        <w:rPr>
          <w:rFonts w:hint="eastAsia" w:ascii="仿宋_GB2312" w:hAnsi="Calibri" w:eastAsia="仿宋_GB2312" w:cs="Times New Roman"/>
          <w:sz w:val="28"/>
        </w:rPr>
        <w:t>，每逾期一日，按该批次合同总价款的万分之一支付违约金，逾期超过1</w:t>
      </w:r>
      <w:r>
        <w:rPr>
          <w:rFonts w:hint="eastAsia" w:ascii="仿宋_GB2312" w:hAnsi="Calibri" w:eastAsia="仿宋_GB2312" w:cs="Times New Roman"/>
          <w:sz w:val="28"/>
          <w:lang w:val="en-US" w:eastAsia="zh-CN"/>
        </w:rPr>
        <w:t>5</w:t>
      </w:r>
      <w:r>
        <w:rPr>
          <w:rFonts w:hint="eastAsia" w:ascii="仿宋_GB2312" w:hAnsi="Calibri" w:eastAsia="仿宋_GB2312" w:cs="Times New Roman"/>
          <w:sz w:val="28"/>
        </w:rPr>
        <w:t xml:space="preserve">个工作日采购单位有权解除合同，供应商应按第(一)款的约定支付违约金。                                                                </w:t>
      </w:r>
    </w:p>
    <w:p w14:paraId="21D00A4F">
      <w:pPr>
        <w:spacing w:line="360" w:lineRule="auto"/>
        <w:ind w:firstLine="560" w:firstLineChars="200"/>
        <w:rPr>
          <w:rFonts w:hint="eastAsia" w:ascii="仿宋_GB2312" w:hAnsi="宋体" w:eastAsia="仿宋_GB2312"/>
          <w:b/>
          <w:bCs w:val="0"/>
          <w:sz w:val="36"/>
          <w:szCs w:val="36"/>
          <w:lang w:val="en-US" w:eastAsia="zh-CN"/>
        </w:rPr>
      </w:pPr>
      <w:r>
        <w:rPr>
          <w:rFonts w:hint="eastAsia" w:ascii="仿宋_GB2312" w:hAnsi="Calibri" w:eastAsia="仿宋_GB2312" w:cs="Times New Roman"/>
          <w:sz w:val="28"/>
        </w:rPr>
        <w:t>5.</w:t>
      </w:r>
      <w:r>
        <w:rPr>
          <w:rFonts w:hint="eastAsia" w:ascii="仿宋_GB2312" w:hAnsi="Calibri" w:eastAsia="仿宋_GB2312" w:cs="Times New Roman"/>
          <w:sz w:val="28"/>
          <w:lang w:val="en-US" w:eastAsia="zh-CN"/>
        </w:rPr>
        <w:t>供应商</w:t>
      </w:r>
      <w:r>
        <w:rPr>
          <w:rFonts w:hint="eastAsia" w:ascii="仿宋_GB2312" w:hAnsi="Calibri" w:eastAsia="仿宋_GB2312" w:cs="Times New Roman"/>
          <w:sz w:val="28"/>
        </w:rPr>
        <w:t>应当对执行业务过程中知悉的</w:t>
      </w:r>
      <w:r>
        <w:rPr>
          <w:rFonts w:hint="eastAsia" w:ascii="仿宋_GB2312" w:hAnsi="Calibri" w:eastAsia="仿宋_GB2312" w:cs="Times New Roman"/>
          <w:sz w:val="28"/>
          <w:lang w:val="en-US" w:eastAsia="zh-CN"/>
        </w:rPr>
        <w:t>采购单位</w:t>
      </w:r>
      <w:r>
        <w:rPr>
          <w:rFonts w:hint="eastAsia" w:ascii="仿宋_GB2312" w:hAnsi="Calibri" w:eastAsia="仿宋_GB2312" w:cs="Times New Roman"/>
          <w:sz w:val="28"/>
        </w:rPr>
        <w:t>信息予以保密：①取得</w:t>
      </w:r>
      <w:r>
        <w:rPr>
          <w:rFonts w:hint="eastAsia" w:ascii="仿宋_GB2312" w:hAnsi="Calibri" w:eastAsia="仿宋_GB2312" w:cs="Times New Roman"/>
          <w:sz w:val="28"/>
          <w:lang w:val="en-US" w:eastAsia="zh-CN"/>
        </w:rPr>
        <w:t>采购单位</w:t>
      </w:r>
      <w:r>
        <w:rPr>
          <w:rFonts w:hint="eastAsia" w:ascii="仿宋_GB2312" w:hAnsi="Calibri" w:eastAsia="仿宋_GB2312" w:cs="Times New Roman"/>
          <w:sz w:val="28"/>
        </w:rPr>
        <w:t>的授权；②根据法律法规的规定，为法律诉讼准备文件或提供证据，以及向监管机构报告发现的违反法规行为；③接受行业协会和监管机构依法进行的质量检查；④监管机构对乙方进行行政处罚（包括监管机构处罚前的调查、听证）以及乙方对此提起行政复议。</w:t>
      </w:r>
    </w:p>
    <w:p w14:paraId="1A2E7829">
      <w:pPr>
        <w:numPr>
          <w:ilvl w:val="0"/>
          <w:numId w:val="0"/>
        </w:numPr>
        <w:tabs>
          <w:tab w:val="left" w:pos="8280"/>
        </w:tabs>
        <w:spacing w:line="360" w:lineRule="auto"/>
        <w:ind w:firstLine="3253" w:firstLineChars="900"/>
        <w:jc w:val="both"/>
        <w:rPr>
          <w:rFonts w:hint="eastAsia" w:ascii="仿宋_GB2312" w:hAnsi="宋体" w:eastAsia="仿宋_GB2312"/>
          <w:b/>
          <w:bCs w:val="0"/>
          <w:sz w:val="36"/>
          <w:szCs w:val="36"/>
          <w:lang w:val="en-US" w:eastAsia="zh-CN"/>
        </w:rPr>
      </w:pPr>
    </w:p>
    <w:p w14:paraId="2437AD74">
      <w:pPr>
        <w:numPr>
          <w:ilvl w:val="0"/>
          <w:numId w:val="0"/>
        </w:numPr>
        <w:tabs>
          <w:tab w:val="left" w:pos="8280"/>
        </w:tabs>
        <w:spacing w:line="360" w:lineRule="auto"/>
        <w:ind w:firstLine="3253" w:firstLineChars="900"/>
        <w:jc w:val="both"/>
        <w:rPr>
          <w:rFonts w:hint="default" w:ascii="仿宋_GB2312" w:hAnsi="宋体" w:eastAsia="仿宋_GB2312"/>
          <w:b/>
          <w:bCs w:val="0"/>
          <w:sz w:val="36"/>
          <w:szCs w:val="36"/>
          <w:lang w:val="en-US" w:eastAsia="zh-CN"/>
        </w:rPr>
      </w:pPr>
      <w:r>
        <w:rPr>
          <w:rFonts w:hint="eastAsia" w:ascii="仿宋_GB2312" w:hAnsi="宋体" w:eastAsia="仿宋_GB2312"/>
          <w:b/>
          <w:bCs w:val="0"/>
          <w:sz w:val="36"/>
          <w:szCs w:val="36"/>
          <w:lang w:val="en-US" w:eastAsia="zh-CN"/>
        </w:rPr>
        <w:t>第二章 议价须知</w:t>
      </w:r>
    </w:p>
    <w:p w14:paraId="145F43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65329A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（一）总则</w:t>
      </w:r>
    </w:p>
    <w:p w14:paraId="3764E4D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1.适用范围</w:t>
      </w:r>
    </w:p>
    <w:p w14:paraId="5A9D308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本</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文件适用于</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中相关内容的</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w:t>
      </w:r>
    </w:p>
    <w:p w14:paraId="419AE5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2.定义</w:t>
      </w:r>
    </w:p>
    <w:p w14:paraId="0019BAA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人”是</w:t>
      </w:r>
      <w:r>
        <w:rPr>
          <w:rFonts w:hint="eastAsia" w:ascii="仿宋_GB2312" w:eastAsia="仿宋_GB2312"/>
          <w:b w:val="0"/>
          <w:bCs w:val="0"/>
          <w:color w:val="000000"/>
          <w:sz w:val="28"/>
          <w:szCs w:val="24"/>
          <w:lang w:val="en-US" w:eastAsia="zh-CN"/>
        </w:rPr>
        <w:t>万宁市中</w:t>
      </w:r>
      <w:r>
        <w:rPr>
          <w:rFonts w:hint="default" w:ascii="仿宋_GB2312" w:eastAsia="仿宋_GB2312"/>
          <w:b w:val="0"/>
          <w:bCs w:val="0"/>
          <w:color w:val="000000"/>
          <w:sz w:val="28"/>
          <w:szCs w:val="24"/>
          <w:lang w:val="en-US" w:eastAsia="zh-CN"/>
        </w:rPr>
        <w:t>医院。</w:t>
      </w:r>
    </w:p>
    <w:p w14:paraId="375F1A6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（2）“供应商”指按照本文件规定获得</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文件并参加</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的供应商。</w:t>
      </w:r>
    </w:p>
    <w:p w14:paraId="43F0067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（二）合格的供应商</w:t>
      </w:r>
    </w:p>
    <w:p w14:paraId="70CFC6D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1.供应商具有独立承担民事责任的能力，在中华人民共和国境内登记注册的独立法人或其他组织；</w:t>
      </w:r>
    </w:p>
    <w:p w14:paraId="6A9C6CB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2.凡两家或以上供应商参加同一项目的活动，有如下情况的，一经发现，将视同串标处理：①为同一法定代表人的；②为同一股东控股的；③其中一家公司为其他公司最大股东的；</w:t>
      </w:r>
    </w:p>
    <w:p w14:paraId="0EB2EF1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3.供应商(含其授权的下属单位、分支机构)参加本次活动前三年内，在经营活动中没有重大违法记录(须提供书面声明)。</w:t>
      </w:r>
    </w:p>
    <w:p w14:paraId="137153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（三）响应文件内容和格式</w:t>
      </w:r>
    </w:p>
    <w:p w14:paraId="25AC45E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请报价人按照以下文件要求的格式、内容制作响应文件。</w:t>
      </w:r>
    </w:p>
    <w:p w14:paraId="015A182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（1）在中华人民共和国注册的、具有独立承担民事责任能力的法人（提供有效的营业执照复印件加盖公章）；</w:t>
      </w:r>
    </w:p>
    <w:p w14:paraId="50B5C87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（2）具有良好的商业信誉和健全的财务会计制度（提供承诺函，格式自拟，加盖公章）；</w:t>
      </w:r>
    </w:p>
    <w:p w14:paraId="3C428F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（3）具有依法缴纳税收和社会保障资金的良好记录（提供承诺函，格式自拟，加盖公章）；</w:t>
      </w:r>
    </w:p>
    <w:p w14:paraId="4AF4C04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（4）参加采购活动前三年内，在经营活动中没有重大违法记录（提供声明函，加盖公章）；</w:t>
      </w:r>
    </w:p>
    <w:p w14:paraId="4E7099E3">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（5）具有履行合同所</w:t>
      </w:r>
      <w:r>
        <w:rPr>
          <w:rFonts w:hint="eastAsia" w:ascii="仿宋_GB2312" w:eastAsia="仿宋_GB2312"/>
          <w:b w:val="0"/>
          <w:bCs w:val="0"/>
          <w:color w:val="000000"/>
          <w:sz w:val="28"/>
          <w:szCs w:val="24"/>
          <w:lang w:val="en-US" w:eastAsia="zh-CN"/>
        </w:rPr>
        <w:t>具备</w:t>
      </w:r>
      <w:r>
        <w:rPr>
          <w:rFonts w:hint="default" w:ascii="仿宋_GB2312" w:eastAsia="仿宋_GB2312"/>
          <w:b w:val="0"/>
          <w:bCs w:val="0"/>
          <w:color w:val="000000"/>
          <w:sz w:val="28"/>
          <w:szCs w:val="24"/>
          <w:lang w:val="en-US" w:eastAsia="zh-CN"/>
        </w:rPr>
        <w:t>的足够经验</w:t>
      </w:r>
      <w:r>
        <w:rPr>
          <w:rFonts w:hint="eastAsia" w:ascii="仿宋_GB2312" w:eastAsia="仿宋_GB2312"/>
          <w:b w:val="0"/>
          <w:bCs w:val="0"/>
          <w:color w:val="000000"/>
          <w:sz w:val="28"/>
          <w:szCs w:val="24"/>
          <w:lang w:val="en-US" w:eastAsia="zh-CN"/>
        </w:rPr>
        <w:t>、</w:t>
      </w:r>
      <w:r>
        <w:rPr>
          <w:rFonts w:hint="default" w:ascii="仿宋_GB2312" w:eastAsia="仿宋_GB2312"/>
          <w:b w:val="0"/>
          <w:bCs w:val="0"/>
          <w:color w:val="000000"/>
          <w:sz w:val="28"/>
          <w:szCs w:val="24"/>
          <w:lang w:val="en-US" w:eastAsia="zh-CN"/>
        </w:rPr>
        <w:t>设备和</w:t>
      </w:r>
      <w:r>
        <w:rPr>
          <w:rFonts w:hint="eastAsia" w:ascii="仿宋_GB2312" w:eastAsia="仿宋_GB2312"/>
          <w:b w:val="0"/>
          <w:bCs w:val="0"/>
          <w:color w:val="000000"/>
          <w:sz w:val="28"/>
          <w:szCs w:val="24"/>
          <w:lang w:val="en-US" w:eastAsia="zh-CN"/>
        </w:rPr>
        <w:t>专业</w:t>
      </w:r>
      <w:r>
        <w:rPr>
          <w:rFonts w:hint="default" w:ascii="仿宋_GB2312" w:eastAsia="仿宋_GB2312"/>
          <w:b w:val="0"/>
          <w:bCs w:val="0"/>
          <w:color w:val="000000"/>
          <w:sz w:val="28"/>
          <w:szCs w:val="24"/>
          <w:lang w:val="en-US" w:eastAsia="zh-CN"/>
        </w:rPr>
        <w:t>技术能力（提供承诺函加盖公章）；</w:t>
      </w:r>
    </w:p>
    <w:p w14:paraId="1CEAA6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（6）必须为未被列入信用中国(https://www.creditchina.gov.cn/)“重大税收违法失信主体”、“政府采购严重违法失信行为记录名单”；未被列入中国执行信息公开网（http://zxgk.court.gov.cn/shixin/） “失信被执行人”；中国政府采购网(http://www.ccgp.gov.cn/)“政府采购严重违法失信行为记录名单”的供应商，提供信用报告。</w:t>
      </w:r>
    </w:p>
    <w:p w14:paraId="26737E8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注：采购人参考“信用中国”网站（www.creditchina.gov.cn）、中国政府采购网（www.ccgp.gov.cn）、国家企业信用信息公示系统（http://www.gsxt.gov.cn）等国家行政部门信息系统的查询信息进行复核。凡被列入失信被执行人、重大税收违法案件当事人名单、政府采购严重违法失信行为记录名单的，视为存在不良信用记录，参与本项目的将被视为无效响应。</w:t>
      </w:r>
    </w:p>
    <w:p w14:paraId="4FF2AAB3">
      <w:pPr>
        <w:keepNext w:val="0"/>
        <w:keepLines w:val="0"/>
        <w:pageBreakBefore w:val="0"/>
        <w:widowControl w:val="0"/>
        <w:numPr>
          <w:ilvl w:val="0"/>
          <w:numId w:val="4"/>
        </w:numPr>
        <w:kinsoku/>
        <w:wordWrap/>
        <w:overflowPunct/>
        <w:topLinePunct w:val="0"/>
        <w:autoSpaceDE w:val="0"/>
        <w:autoSpaceDN w:val="0"/>
        <w:bidi w:val="0"/>
        <w:adjustRightInd w:val="0"/>
        <w:snapToGrid/>
        <w:spacing w:line="360" w:lineRule="auto"/>
        <w:textAlignment w:val="auto"/>
        <w:rPr>
          <w:rFonts w:hint="eastAsia"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与参与本项目的供应商之间，单位负责人不为同一人，也不存在直接控股、管理关系的承诺书</w:t>
      </w:r>
      <w:r>
        <w:rPr>
          <w:rFonts w:hint="eastAsia" w:ascii="仿宋_GB2312" w:eastAsia="仿宋_GB2312"/>
          <w:b w:val="0"/>
          <w:bCs w:val="0"/>
          <w:color w:val="000000"/>
          <w:sz w:val="28"/>
          <w:szCs w:val="24"/>
          <w:lang w:val="en-US" w:eastAsia="zh-CN"/>
        </w:rPr>
        <w:t>。</w:t>
      </w:r>
    </w:p>
    <w:p w14:paraId="3D9EAFC5">
      <w:pPr>
        <w:pStyle w:val="2"/>
        <w:numPr>
          <w:ilvl w:val="0"/>
          <w:numId w:val="4"/>
        </w:numPr>
        <w:ind w:left="0" w:leftChars="0" w:firstLine="0" w:firstLineChars="0"/>
        <w:jc w:val="both"/>
        <w:rPr>
          <w:rFonts w:hint="default" w:ascii="仿宋_GB2312" w:eastAsia="仿宋_GB2312"/>
          <w:b w:val="0"/>
          <w:bCs w:val="0"/>
          <w:color w:val="000000"/>
          <w:sz w:val="28"/>
          <w:szCs w:val="24"/>
          <w:lang w:val="en-US" w:eastAsia="zh-CN"/>
        </w:rPr>
      </w:pPr>
      <w:r>
        <w:rPr>
          <w:rFonts w:hint="eastAsia" w:ascii="仿宋_GB2312" w:eastAsia="仿宋_GB2312"/>
          <w:b w:val="0"/>
          <w:bCs w:val="0"/>
          <w:color w:val="000000"/>
          <w:sz w:val="28"/>
          <w:szCs w:val="24"/>
          <w:lang w:val="en-US" w:eastAsia="zh-CN"/>
        </w:rPr>
        <w:t>服务方案内容、售后服务方案。</w:t>
      </w:r>
    </w:p>
    <w:p w14:paraId="7A4117C1">
      <w:pPr>
        <w:pStyle w:val="2"/>
        <w:numPr>
          <w:ilvl w:val="0"/>
          <w:numId w:val="4"/>
        </w:numPr>
        <w:ind w:left="0" w:leftChars="0" w:firstLine="0" w:firstLineChars="0"/>
        <w:jc w:val="both"/>
        <w:rPr>
          <w:rFonts w:hint="default" w:ascii="仿宋_GB2312" w:eastAsia="仿宋_GB2312"/>
          <w:b w:val="0"/>
          <w:bCs w:val="0"/>
          <w:color w:val="000000"/>
          <w:sz w:val="28"/>
          <w:szCs w:val="24"/>
          <w:lang w:val="en-US" w:eastAsia="zh-CN"/>
        </w:rPr>
      </w:pPr>
      <w:r>
        <w:rPr>
          <w:rFonts w:hint="eastAsia" w:ascii="仿宋_GB2312" w:eastAsia="仿宋_GB2312"/>
          <w:b w:val="0"/>
          <w:bCs w:val="0"/>
          <w:color w:val="000000"/>
          <w:sz w:val="28"/>
          <w:szCs w:val="24"/>
          <w:lang w:val="en-US" w:eastAsia="zh-CN"/>
        </w:rPr>
        <w:t>类似业绩。</w:t>
      </w:r>
    </w:p>
    <w:p w14:paraId="4C74C577">
      <w:pPr>
        <w:pStyle w:val="2"/>
        <w:numPr>
          <w:ilvl w:val="0"/>
          <w:numId w:val="4"/>
        </w:numPr>
        <w:ind w:left="0" w:leftChars="0" w:firstLine="0" w:firstLineChars="0"/>
        <w:jc w:val="both"/>
        <w:rPr>
          <w:rFonts w:hint="default" w:ascii="仿宋_GB2312" w:eastAsia="仿宋_GB2312"/>
          <w:b w:val="0"/>
          <w:bCs w:val="0"/>
          <w:color w:val="000000"/>
          <w:sz w:val="28"/>
          <w:szCs w:val="24"/>
          <w:lang w:val="en-US" w:eastAsia="zh-CN"/>
        </w:rPr>
      </w:pPr>
      <w:r>
        <w:rPr>
          <w:rFonts w:hint="eastAsia" w:ascii="仿宋_GB2312" w:eastAsia="仿宋_GB2312"/>
          <w:b w:val="0"/>
          <w:bCs w:val="0"/>
          <w:color w:val="000000"/>
          <w:sz w:val="28"/>
          <w:szCs w:val="24"/>
          <w:lang w:val="en-US" w:eastAsia="zh-CN"/>
        </w:rPr>
        <w:t>拟派投入团队人员及其资质证明。</w:t>
      </w:r>
    </w:p>
    <w:p w14:paraId="1D6C9254">
      <w:pPr>
        <w:pStyle w:val="2"/>
        <w:numPr>
          <w:ilvl w:val="0"/>
          <w:numId w:val="4"/>
        </w:numPr>
        <w:ind w:left="0" w:leftChars="0" w:firstLine="0" w:firstLineChars="0"/>
        <w:jc w:val="both"/>
        <w:rPr>
          <w:rFonts w:hint="default" w:ascii="仿宋_GB2312" w:eastAsia="仿宋_GB2312"/>
          <w:b w:val="0"/>
          <w:bCs w:val="0"/>
          <w:color w:val="000000"/>
          <w:sz w:val="28"/>
          <w:szCs w:val="24"/>
          <w:lang w:val="en-US" w:eastAsia="zh-CN"/>
        </w:rPr>
      </w:pPr>
      <w:r>
        <w:rPr>
          <w:rFonts w:hint="eastAsia" w:ascii="仿宋_GB2312" w:eastAsia="仿宋_GB2312"/>
          <w:b w:val="0"/>
          <w:bCs w:val="0"/>
          <w:color w:val="000000"/>
          <w:sz w:val="28"/>
          <w:szCs w:val="24"/>
          <w:lang w:val="en-US" w:eastAsia="zh-CN"/>
        </w:rPr>
        <w:t>报价清单。</w:t>
      </w:r>
    </w:p>
    <w:p w14:paraId="13317DEF">
      <w:pPr>
        <w:keepNext w:val="0"/>
        <w:keepLines w:val="0"/>
        <w:pageBreakBefore w:val="0"/>
        <w:widowControl w:val="0"/>
        <w:numPr>
          <w:ilvl w:val="0"/>
          <w:numId w:val="4"/>
        </w:numPr>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报价人认为需要的其它证明材料</w:t>
      </w:r>
    </w:p>
    <w:p w14:paraId="5D4D668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注：以上材料均需要加盖公章</w:t>
      </w:r>
    </w:p>
    <w:p w14:paraId="5365662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（四）文件递交</w:t>
      </w:r>
    </w:p>
    <w:p w14:paraId="4311EB3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lang w:val="en-US" w:eastAsia="zh-CN"/>
        </w:rPr>
        <w:t>1.递</w:t>
      </w:r>
      <w:r>
        <w:rPr>
          <w:rFonts w:hint="default" w:ascii="仿宋_GB2312" w:eastAsia="仿宋_GB2312"/>
          <w:b w:val="0"/>
          <w:bCs w:val="0"/>
          <w:color w:val="000000"/>
          <w:sz w:val="28"/>
          <w:szCs w:val="24"/>
          <w:highlight w:val="none"/>
          <w:lang w:val="en-US" w:eastAsia="zh-CN"/>
        </w:rPr>
        <w:t>交响应文件截止时间、地点：</w:t>
      </w:r>
    </w:p>
    <w:p w14:paraId="52D4B84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时间：</w:t>
      </w:r>
      <w:r>
        <w:rPr>
          <w:rFonts w:hint="eastAsia" w:ascii="仿宋_GB2312" w:eastAsia="仿宋_GB2312"/>
          <w:color w:val="000000"/>
          <w:sz w:val="28"/>
          <w:szCs w:val="24"/>
          <w:highlight w:val="none"/>
          <w:lang w:val="zh-CN" w:eastAsia="zh-CN"/>
        </w:rPr>
        <w:t>202</w:t>
      </w:r>
      <w:r>
        <w:rPr>
          <w:rFonts w:hint="eastAsia" w:ascii="仿宋_GB2312" w:eastAsia="仿宋_GB2312"/>
          <w:color w:val="000000"/>
          <w:sz w:val="28"/>
          <w:szCs w:val="24"/>
          <w:highlight w:val="none"/>
          <w:lang w:val="en-US" w:eastAsia="zh-CN"/>
        </w:rPr>
        <w:t>5</w:t>
      </w:r>
      <w:r>
        <w:rPr>
          <w:rFonts w:hint="eastAsia" w:ascii="仿宋_GB2312" w:eastAsia="仿宋_GB2312"/>
          <w:color w:val="000000"/>
          <w:sz w:val="28"/>
          <w:szCs w:val="24"/>
          <w:highlight w:val="none"/>
          <w:lang w:val="zh-CN" w:eastAsia="zh-CN"/>
        </w:rPr>
        <w:t>年</w:t>
      </w:r>
      <w:r>
        <w:rPr>
          <w:rFonts w:hint="eastAsia" w:ascii="仿宋_GB2312" w:eastAsia="仿宋_GB2312"/>
          <w:color w:val="000000"/>
          <w:sz w:val="28"/>
          <w:szCs w:val="24"/>
          <w:highlight w:val="none"/>
          <w:lang w:val="en-US" w:eastAsia="zh-CN"/>
        </w:rPr>
        <w:t>12</w:t>
      </w:r>
      <w:r>
        <w:rPr>
          <w:rFonts w:hint="eastAsia" w:ascii="仿宋_GB2312" w:eastAsia="仿宋_GB2312"/>
          <w:color w:val="000000"/>
          <w:sz w:val="28"/>
          <w:szCs w:val="24"/>
          <w:highlight w:val="none"/>
          <w:lang w:val="zh-CN" w:eastAsia="zh-CN"/>
        </w:rPr>
        <w:t>月</w:t>
      </w:r>
      <w:r>
        <w:rPr>
          <w:rFonts w:hint="eastAsia" w:ascii="仿宋_GB2312" w:eastAsia="仿宋_GB2312"/>
          <w:color w:val="000000"/>
          <w:sz w:val="28"/>
          <w:szCs w:val="24"/>
          <w:highlight w:val="none"/>
          <w:lang w:val="en-US" w:eastAsia="zh-CN"/>
        </w:rPr>
        <w:t>17</w:t>
      </w:r>
      <w:r>
        <w:rPr>
          <w:rFonts w:hint="eastAsia" w:ascii="仿宋_GB2312" w:eastAsia="仿宋_GB2312"/>
          <w:color w:val="000000"/>
          <w:sz w:val="28"/>
          <w:szCs w:val="24"/>
          <w:highlight w:val="none"/>
          <w:lang w:val="zh-CN" w:eastAsia="zh-CN"/>
        </w:rPr>
        <w:t>日</w:t>
      </w:r>
      <w:r>
        <w:rPr>
          <w:rFonts w:hint="eastAsia" w:ascii="仿宋_GB2312" w:eastAsia="仿宋_GB2312"/>
          <w:color w:val="000000"/>
          <w:sz w:val="28"/>
          <w:szCs w:val="24"/>
          <w:highlight w:val="none"/>
          <w:lang w:val="en-US" w:eastAsia="zh-CN"/>
        </w:rPr>
        <w:t>上午10</w:t>
      </w:r>
      <w:r>
        <w:rPr>
          <w:rFonts w:hint="eastAsia" w:ascii="仿宋_GB2312" w:eastAsia="仿宋_GB2312"/>
          <w:color w:val="000000"/>
          <w:sz w:val="28"/>
          <w:szCs w:val="24"/>
          <w:highlight w:val="none"/>
          <w:lang w:val="zh-CN" w:eastAsia="zh-CN"/>
        </w:rPr>
        <w:t>:00</w:t>
      </w:r>
      <w:r>
        <w:rPr>
          <w:rFonts w:hint="default" w:ascii="仿宋_GB2312" w:eastAsia="仿宋_GB2312"/>
          <w:b w:val="0"/>
          <w:bCs w:val="0"/>
          <w:color w:val="000000"/>
          <w:sz w:val="28"/>
          <w:szCs w:val="24"/>
          <w:highlight w:val="none"/>
          <w:lang w:val="en-US" w:eastAsia="zh-CN"/>
        </w:rPr>
        <w:t>；</w:t>
      </w:r>
    </w:p>
    <w:p w14:paraId="7B34CE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地点：</w:t>
      </w:r>
      <w:r>
        <w:rPr>
          <w:rFonts w:hint="eastAsia" w:ascii="仿宋_GB2312" w:eastAsia="仿宋_GB2312"/>
          <w:b w:val="0"/>
          <w:bCs w:val="0"/>
          <w:color w:val="000000"/>
          <w:sz w:val="28"/>
          <w:szCs w:val="24"/>
          <w:highlight w:val="none"/>
          <w:lang w:val="en-US" w:eastAsia="zh-CN"/>
        </w:rPr>
        <w:t>万宁市万城镇红专东路211号</w:t>
      </w:r>
      <w:r>
        <w:rPr>
          <w:rFonts w:hint="default" w:ascii="仿宋_GB2312" w:eastAsia="仿宋_GB2312"/>
          <w:b w:val="0"/>
          <w:bCs w:val="0"/>
          <w:color w:val="000000"/>
          <w:sz w:val="28"/>
          <w:szCs w:val="24"/>
          <w:highlight w:val="none"/>
          <w:lang w:val="en-US" w:eastAsia="zh-CN"/>
        </w:rPr>
        <w:t>（万宁市</w:t>
      </w:r>
      <w:r>
        <w:rPr>
          <w:rFonts w:hint="eastAsia" w:ascii="仿宋_GB2312" w:eastAsia="仿宋_GB2312"/>
          <w:b w:val="0"/>
          <w:bCs w:val="0"/>
          <w:color w:val="000000"/>
          <w:sz w:val="28"/>
          <w:szCs w:val="24"/>
          <w:highlight w:val="none"/>
          <w:lang w:val="en-US" w:eastAsia="zh-CN"/>
        </w:rPr>
        <w:t>中</w:t>
      </w:r>
      <w:r>
        <w:rPr>
          <w:rFonts w:hint="default" w:ascii="仿宋_GB2312" w:eastAsia="仿宋_GB2312"/>
          <w:b w:val="0"/>
          <w:bCs w:val="0"/>
          <w:color w:val="000000"/>
          <w:sz w:val="28"/>
          <w:szCs w:val="24"/>
          <w:highlight w:val="none"/>
          <w:lang w:val="en-US" w:eastAsia="zh-CN"/>
        </w:rPr>
        <w:t>医院）。</w:t>
      </w:r>
    </w:p>
    <w:p w14:paraId="38AA991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highlight w:val="none"/>
          <w:lang w:val="en-US" w:eastAsia="zh-CN"/>
        </w:rPr>
        <w:t>文件应于</w:t>
      </w:r>
      <w:r>
        <w:rPr>
          <w:rFonts w:hint="eastAsia" w:ascii="仿宋_GB2312" w:eastAsia="仿宋_GB2312"/>
          <w:b w:val="0"/>
          <w:bCs w:val="0"/>
          <w:color w:val="000000"/>
          <w:sz w:val="28"/>
          <w:szCs w:val="24"/>
          <w:highlight w:val="none"/>
          <w:lang w:val="en-US" w:eastAsia="zh-CN"/>
        </w:rPr>
        <w:t>议价</w:t>
      </w:r>
      <w:r>
        <w:rPr>
          <w:rFonts w:hint="default" w:ascii="仿宋_GB2312" w:eastAsia="仿宋_GB2312"/>
          <w:b w:val="0"/>
          <w:bCs w:val="0"/>
          <w:color w:val="000000"/>
          <w:sz w:val="28"/>
          <w:szCs w:val="24"/>
          <w:highlight w:val="none"/>
          <w:lang w:val="en-US" w:eastAsia="zh-CN"/>
        </w:rPr>
        <w:t>规定的截止时间之前密封送达万宁市</w:t>
      </w:r>
      <w:r>
        <w:rPr>
          <w:rFonts w:hint="eastAsia" w:ascii="仿宋_GB2312" w:eastAsia="仿宋_GB2312"/>
          <w:b w:val="0"/>
          <w:bCs w:val="0"/>
          <w:color w:val="000000"/>
          <w:sz w:val="28"/>
          <w:szCs w:val="24"/>
          <w:highlight w:val="none"/>
          <w:lang w:val="en-US" w:eastAsia="zh-CN"/>
        </w:rPr>
        <w:t>中</w:t>
      </w:r>
      <w:r>
        <w:rPr>
          <w:rFonts w:hint="default" w:ascii="仿宋_GB2312" w:eastAsia="仿宋_GB2312"/>
          <w:b w:val="0"/>
          <w:bCs w:val="0"/>
          <w:color w:val="000000"/>
          <w:sz w:val="28"/>
          <w:szCs w:val="24"/>
          <w:highlight w:val="none"/>
          <w:lang w:val="en-US" w:eastAsia="zh-CN"/>
        </w:rPr>
        <w:t>医院</w:t>
      </w:r>
      <w:r>
        <w:rPr>
          <w:rFonts w:hint="eastAsia" w:ascii="仿宋_GB2312" w:eastAsia="仿宋_GB2312"/>
          <w:b w:val="0"/>
          <w:bCs w:val="0"/>
          <w:color w:val="000000"/>
          <w:sz w:val="28"/>
          <w:szCs w:val="24"/>
          <w:highlight w:val="none"/>
          <w:lang w:val="en-US" w:eastAsia="zh-CN"/>
        </w:rPr>
        <w:t>财务科</w:t>
      </w:r>
      <w:r>
        <w:rPr>
          <w:rFonts w:hint="default" w:ascii="仿宋_GB2312" w:eastAsia="仿宋_GB2312"/>
          <w:b w:val="0"/>
          <w:bCs w:val="0"/>
          <w:color w:val="000000"/>
          <w:sz w:val="28"/>
          <w:szCs w:val="24"/>
          <w:highlight w:val="none"/>
          <w:lang w:val="en-US" w:eastAsia="zh-CN"/>
        </w:rPr>
        <w:t>。在</w:t>
      </w:r>
      <w:r>
        <w:rPr>
          <w:rFonts w:hint="eastAsia" w:ascii="仿宋_GB2312" w:eastAsia="仿宋_GB2312"/>
          <w:b w:val="0"/>
          <w:bCs w:val="0"/>
          <w:color w:val="000000"/>
          <w:sz w:val="28"/>
          <w:szCs w:val="24"/>
          <w:highlight w:val="none"/>
          <w:lang w:val="en-US" w:eastAsia="zh-CN"/>
        </w:rPr>
        <w:t>议价</w:t>
      </w:r>
      <w:r>
        <w:rPr>
          <w:rFonts w:hint="default" w:ascii="仿宋_GB2312" w:eastAsia="仿宋_GB2312"/>
          <w:b w:val="0"/>
          <w:bCs w:val="0"/>
          <w:color w:val="000000"/>
          <w:sz w:val="28"/>
          <w:szCs w:val="24"/>
          <w:highlight w:val="none"/>
          <w:lang w:val="en-US" w:eastAsia="zh-CN"/>
        </w:rPr>
        <w:t>文件要求提交文件的截止时间后送达的响</w:t>
      </w:r>
      <w:r>
        <w:rPr>
          <w:rFonts w:hint="default" w:ascii="仿宋_GB2312" w:eastAsia="仿宋_GB2312"/>
          <w:b w:val="0"/>
          <w:bCs w:val="0"/>
          <w:color w:val="000000"/>
          <w:sz w:val="28"/>
          <w:szCs w:val="24"/>
          <w:lang w:val="en-US" w:eastAsia="zh-CN"/>
        </w:rPr>
        <w:t>应文件，将拒收。</w:t>
      </w:r>
    </w:p>
    <w:p w14:paraId="05DA69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2.文件需提供正本</w:t>
      </w:r>
      <w:r>
        <w:rPr>
          <w:rFonts w:hint="default" w:ascii="仿宋_GB2312" w:eastAsia="仿宋_GB2312"/>
          <w:b/>
          <w:bCs/>
          <w:color w:val="000000"/>
          <w:sz w:val="28"/>
          <w:szCs w:val="24"/>
          <w:u w:val="single"/>
          <w:lang w:val="en-US" w:eastAsia="zh-CN"/>
        </w:rPr>
        <w:t>壹</w:t>
      </w:r>
      <w:r>
        <w:rPr>
          <w:rFonts w:hint="default" w:ascii="仿宋_GB2312" w:eastAsia="仿宋_GB2312"/>
          <w:b w:val="0"/>
          <w:bCs w:val="0"/>
          <w:color w:val="000000"/>
          <w:sz w:val="28"/>
          <w:szCs w:val="24"/>
          <w:lang w:val="en-US" w:eastAsia="zh-CN"/>
        </w:rPr>
        <w:t>份、副本</w:t>
      </w:r>
      <w:r>
        <w:rPr>
          <w:rFonts w:hint="default" w:ascii="仿宋_GB2312" w:eastAsia="仿宋_GB2312"/>
          <w:b/>
          <w:bCs/>
          <w:color w:val="000000"/>
          <w:sz w:val="28"/>
          <w:szCs w:val="24"/>
          <w:u w:val="single"/>
          <w:lang w:val="en-US" w:eastAsia="zh-CN"/>
        </w:rPr>
        <w:t>贰</w:t>
      </w:r>
      <w:r>
        <w:rPr>
          <w:rFonts w:hint="default" w:ascii="仿宋_GB2312" w:eastAsia="仿宋_GB2312"/>
          <w:b w:val="0"/>
          <w:bCs w:val="0"/>
          <w:color w:val="000000"/>
          <w:sz w:val="28"/>
          <w:szCs w:val="24"/>
          <w:lang w:val="en-US" w:eastAsia="zh-CN"/>
        </w:rPr>
        <w:t>份（加盖公章）。</w:t>
      </w:r>
    </w:p>
    <w:p w14:paraId="07E20FB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3.文件应装入封袋，封面注明项目名称、供应商名称、地址、电话等。</w:t>
      </w:r>
    </w:p>
    <w:p w14:paraId="73C3457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（五）</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文件的修改</w:t>
      </w:r>
    </w:p>
    <w:p w14:paraId="3CC467C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人在规定的截止时间前，可以对</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文件进行修改，并发表公告</w:t>
      </w:r>
      <w:r>
        <w:rPr>
          <w:rFonts w:hint="eastAsia" w:ascii="仿宋_GB2312" w:eastAsia="仿宋_GB2312"/>
          <w:b w:val="0"/>
          <w:bCs w:val="0"/>
          <w:color w:val="000000"/>
          <w:sz w:val="28"/>
          <w:szCs w:val="24"/>
          <w:lang w:val="en-US" w:eastAsia="zh-CN"/>
        </w:rPr>
        <w:t>，</w:t>
      </w:r>
      <w:r>
        <w:rPr>
          <w:rFonts w:hint="default" w:ascii="仿宋_GB2312" w:eastAsia="仿宋_GB2312"/>
          <w:b w:val="0"/>
          <w:bCs w:val="0"/>
          <w:color w:val="000000"/>
          <w:sz w:val="28"/>
          <w:szCs w:val="24"/>
          <w:lang w:val="en-US" w:eastAsia="zh-CN"/>
        </w:rPr>
        <w:t>请供应商予以关注。</w:t>
      </w:r>
    </w:p>
    <w:p w14:paraId="1E5177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（六）文件的补充、修改或者撤回</w:t>
      </w:r>
    </w:p>
    <w:p w14:paraId="49E57E5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供应商在规定的截止时间前，可以对所递交的文件进行补充、修改或者撤回，并书面通知</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人。补充、修改的内容为文件的组成部分。</w:t>
      </w:r>
    </w:p>
    <w:p w14:paraId="6E4360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（七）</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保证金：本项目不收取保证金。</w:t>
      </w:r>
    </w:p>
    <w:p w14:paraId="3A9B350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（八）</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程序：</w:t>
      </w:r>
    </w:p>
    <w:p w14:paraId="6733F8D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1.评审小组：评审小组代表三人组成。</w:t>
      </w:r>
    </w:p>
    <w:p w14:paraId="33A6C06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供应商：参加</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的供应商代表应是单位法定代表人或其委托人。</w:t>
      </w:r>
    </w:p>
    <w:p w14:paraId="069E8F0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3.实质性响应审查：</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小组依据</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文件的规定，从供应商递交文件的有效性、完整性和对</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文件的响应程度进行审查，确定是否对</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文件的实质性要求作出响应。</w:t>
      </w:r>
    </w:p>
    <w:p w14:paraId="76CCC4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程序：</w:t>
      </w:r>
    </w:p>
    <w:p w14:paraId="3B5E26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小组要求被</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的供应商在</w:t>
      </w:r>
      <w:r>
        <w:rPr>
          <w:rFonts w:hint="eastAsia" w:ascii="仿宋_GB2312" w:eastAsia="仿宋_GB2312"/>
          <w:b w:val="0"/>
          <w:bCs w:val="0"/>
          <w:color w:val="000000"/>
          <w:sz w:val="28"/>
          <w:szCs w:val="24"/>
          <w:lang w:val="en-US" w:eastAsia="zh-CN"/>
        </w:rPr>
        <w:t>现场</w:t>
      </w:r>
      <w:r>
        <w:rPr>
          <w:rFonts w:hint="default" w:ascii="仿宋_GB2312" w:eastAsia="仿宋_GB2312"/>
          <w:b w:val="0"/>
          <w:bCs w:val="0"/>
          <w:color w:val="000000"/>
          <w:sz w:val="28"/>
          <w:szCs w:val="24"/>
          <w:lang w:val="en-US" w:eastAsia="zh-CN"/>
        </w:rPr>
        <w:t>规定的时间内以书面形式一次报出不得更改的</w:t>
      </w:r>
      <w:r>
        <w:rPr>
          <w:rFonts w:hint="eastAsia" w:ascii="仿宋_GB2312" w:eastAsia="仿宋_GB2312"/>
          <w:b w:val="0"/>
          <w:bCs w:val="0"/>
          <w:color w:val="000000"/>
          <w:sz w:val="28"/>
          <w:szCs w:val="24"/>
          <w:lang w:val="en-US" w:eastAsia="zh-CN"/>
        </w:rPr>
        <w:t>最终</w:t>
      </w:r>
      <w:r>
        <w:rPr>
          <w:rFonts w:hint="default" w:ascii="仿宋_GB2312" w:eastAsia="仿宋_GB2312"/>
          <w:b w:val="0"/>
          <w:bCs w:val="0"/>
          <w:color w:val="000000"/>
          <w:sz w:val="28"/>
          <w:szCs w:val="24"/>
          <w:lang w:val="en-US" w:eastAsia="zh-CN"/>
        </w:rPr>
        <w:t>价格；</w:t>
      </w:r>
    </w:p>
    <w:p w14:paraId="5D08C48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结束后，</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小组根据符合</w:t>
      </w:r>
      <w:r>
        <w:rPr>
          <w:rFonts w:hint="eastAsia" w:ascii="仿宋_GB2312" w:eastAsia="仿宋_GB2312"/>
          <w:b w:val="0"/>
          <w:bCs w:val="0"/>
          <w:color w:val="000000"/>
          <w:sz w:val="28"/>
          <w:szCs w:val="24"/>
          <w:lang w:val="en-US" w:eastAsia="zh-CN"/>
        </w:rPr>
        <w:t>项目</w:t>
      </w:r>
      <w:r>
        <w:rPr>
          <w:rFonts w:hint="default" w:ascii="仿宋_GB2312" w:eastAsia="仿宋_GB2312"/>
          <w:b w:val="0"/>
          <w:bCs w:val="0"/>
          <w:color w:val="000000"/>
          <w:sz w:val="28"/>
          <w:szCs w:val="24"/>
          <w:lang w:val="en-US" w:eastAsia="zh-CN"/>
        </w:rPr>
        <w:t>需求、质量和服务且</w:t>
      </w:r>
      <w:r>
        <w:rPr>
          <w:rFonts w:hint="eastAsia" w:ascii="仿宋_GB2312" w:eastAsia="仿宋_GB2312"/>
          <w:b w:val="0"/>
          <w:bCs w:val="0"/>
          <w:color w:val="000000"/>
          <w:sz w:val="28"/>
          <w:szCs w:val="24"/>
          <w:lang w:val="en-US" w:eastAsia="zh-CN"/>
        </w:rPr>
        <w:t>根据综合评分法得分最高</w:t>
      </w:r>
      <w:r>
        <w:rPr>
          <w:rFonts w:hint="default" w:ascii="仿宋_GB2312" w:eastAsia="仿宋_GB2312"/>
          <w:b w:val="0"/>
          <w:bCs w:val="0"/>
          <w:color w:val="000000"/>
          <w:sz w:val="28"/>
          <w:szCs w:val="24"/>
          <w:lang w:val="en-US" w:eastAsia="zh-CN"/>
        </w:rPr>
        <w:t>原则确定成交供应商；</w:t>
      </w:r>
    </w:p>
    <w:p w14:paraId="55675B0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的任何一方在未征得另一方同意的情况下，不得向第三方透露与谈判有关的一切技术资料、价格或其他信息。</w:t>
      </w:r>
    </w:p>
    <w:p w14:paraId="6A02CE8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开始后，递交文件或符合项目资格条件的合格供应商不足三家时，</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人将另行组织。</w:t>
      </w:r>
    </w:p>
    <w:p w14:paraId="00D85A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（九）付款方式</w:t>
      </w:r>
    </w:p>
    <w:p w14:paraId="0015FE1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结束后双方进行协商约定。</w:t>
      </w:r>
    </w:p>
    <w:p w14:paraId="3C3757F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（十）签订合同</w:t>
      </w:r>
    </w:p>
    <w:p w14:paraId="345EB0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人向成交供应商发出成交通告。</w:t>
      </w:r>
    </w:p>
    <w:p w14:paraId="5FDFF84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2.成交供应商应按成交通告规定的时间、地点与</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人签订合同。</w:t>
      </w:r>
    </w:p>
    <w:p w14:paraId="25FC6C9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3.成交供应商因不可抗力或者自身原因不能履行合同的，</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人可以与排位在成交供应商之后第一位的成交候选供应商签订合同，以此类推。</w:t>
      </w:r>
    </w:p>
    <w:p w14:paraId="23DA479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（十一）质疑和投诉</w:t>
      </w:r>
    </w:p>
    <w:p w14:paraId="085D02D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1.供应商认为</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文件、</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过程和成交结果使自己的合法权益受到损害的，可以在知道或者应知其权益受到损害之日起7个工作日内，以书面形式向</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人提出质疑，但需对质疑内容的真实性承担责任。</w:t>
      </w:r>
    </w:p>
    <w:p w14:paraId="7032399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w:t>
      </w:r>
      <w:r>
        <w:rPr>
          <w:rFonts w:hint="eastAsia" w:ascii="仿宋_GB2312" w:eastAsia="仿宋_GB2312"/>
          <w:b w:val="0"/>
          <w:bCs w:val="0"/>
          <w:color w:val="000000"/>
          <w:sz w:val="28"/>
          <w:szCs w:val="24"/>
          <w:lang w:val="en-US" w:eastAsia="zh-CN"/>
        </w:rPr>
        <w:t>议价</w:t>
      </w:r>
      <w:r>
        <w:rPr>
          <w:rFonts w:hint="default" w:ascii="仿宋_GB2312" w:eastAsia="仿宋_GB2312"/>
          <w:b w:val="0"/>
          <w:bCs w:val="0"/>
          <w:color w:val="000000"/>
          <w:sz w:val="28"/>
          <w:szCs w:val="24"/>
          <w:lang w:val="en-US" w:eastAsia="zh-CN"/>
        </w:rPr>
        <w:t>人在收到供应商的书面质疑后7个工作日内作出答复，并以书面形式通知质疑供应商，但答复的内容不涉及商业秘密。</w:t>
      </w:r>
      <w:bookmarkStart w:id="4" w:name="OLE_LINK1"/>
    </w:p>
    <w:p w14:paraId="0566639F">
      <w:pPr>
        <w:pStyle w:val="2"/>
        <w:rPr>
          <w:rFonts w:hint="eastAsia"/>
          <w:lang w:val="en-US" w:eastAsia="zh-CN"/>
        </w:rPr>
      </w:pPr>
    </w:p>
    <w:p w14:paraId="79FFF0F0">
      <w:pPr>
        <w:spacing w:before="156" w:beforeLines="50" w:after="156" w:afterLines="50" w:line="440" w:lineRule="exact"/>
        <w:jc w:val="both"/>
        <w:rPr>
          <w:rFonts w:hint="eastAsia" w:ascii="仿宋_GB2312" w:hAnsi="宋体" w:eastAsia="仿宋_GB2312"/>
          <w:b/>
          <w:color w:val="000000"/>
          <w:sz w:val="36"/>
          <w:szCs w:val="36"/>
          <w:lang w:val="en-US" w:eastAsia="zh-CN"/>
        </w:rPr>
      </w:pPr>
    </w:p>
    <w:p w14:paraId="279E079A">
      <w:pPr>
        <w:spacing w:before="156" w:beforeLines="50" w:after="156" w:afterLines="50" w:line="440" w:lineRule="exact"/>
        <w:jc w:val="center"/>
        <w:rPr>
          <w:rFonts w:hint="eastAsia" w:ascii="宋体" w:hAnsi="宋体" w:cs="宋体"/>
          <w:b/>
          <w:bCs/>
          <w:sz w:val="36"/>
          <w:szCs w:val="36"/>
          <w:lang w:val="en-GB"/>
        </w:rPr>
      </w:pPr>
      <w:r>
        <w:rPr>
          <w:rFonts w:hint="eastAsia" w:ascii="仿宋_GB2312" w:hAnsi="宋体" w:eastAsia="仿宋_GB2312"/>
          <w:b/>
          <w:color w:val="000000"/>
          <w:sz w:val="36"/>
          <w:szCs w:val="36"/>
          <w:lang w:val="en-US" w:eastAsia="zh-CN"/>
        </w:rPr>
        <w:t xml:space="preserve">第三章 </w:t>
      </w:r>
      <w:r>
        <w:rPr>
          <w:rFonts w:hint="eastAsia" w:ascii="仿宋_GB2312" w:hAnsi="宋体" w:eastAsia="仿宋_GB2312"/>
          <w:b/>
          <w:color w:val="000000"/>
          <w:sz w:val="36"/>
          <w:szCs w:val="36"/>
        </w:rPr>
        <w:t>评审标准和</w:t>
      </w:r>
      <w:r>
        <w:rPr>
          <w:rFonts w:hint="eastAsia" w:ascii="仿宋_GB2312" w:hAnsi="宋体" w:eastAsia="仿宋_GB2312"/>
          <w:b/>
          <w:color w:val="000000"/>
          <w:sz w:val="36"/>
          <w:szCs w:val="36"/>
          <w:lang w:val="en-US" w:eastAsia="zh-CN"/>
        </w:rPr>
        <w:t>方法</w:t>
      </w:r>
    </w:p>
    <w:p w14:paraId="3454B950">
      <w:pPr>
        <w:spacing w:before="156" w:beforeLines="50" w:after="156" w:afterLines="50" w:line="440" w:lineRule="exact"/>
        <w:ind w:firstLine="3614" w:firstLineChars="1000"/>
        <w:rPr>
          <w:rFonts w:hint="eastAsia" w:ascii="宋体" w:hAnsi="宋体" w:cs="宋体"/>
          <w:b/>
          <w:bCs/>
          <w:sz w:val="36"/>
          <w:szCs w:val="36"/>
          <w:lang w:val="en-GB"/>
        </w:rPr>
      </w:pPr>
      <w:r>
        <w:rPr>
          <w:rFonts w:hint="eastAsia" w:ascii="宋体" w:hAnsi="宋体" w:cs="宋体"/>
          <w:b/>
          <w:bCs/>
          <w:sz w:val="36"/>
          <w:szCs w:val="36"/>
          <w:lang w:val="en-GB"/>
        </w:rPr>
        <w:t>评分细则</w:t>
      </w:r>
    </w:p>
    <w:tbl>
      <w:tblPr>
        <w:tblStyle w:val="16"/>
        <w:tblW w:w="9098" w:type="dxa"/>
        <w:jc w:val="center"/>
        <w:tblLayout w:type="fixed"/>
        <w:tblCellMar>
          <w:top w:w="0" w:type="dxa"/>
          <w:left w:w="10" w:type="dxa"/>
          <w:bottom w:w="0" w:type="dxa"/>
          <w:right w:w="10" w:type="dxa"/>
        </w:tblCellMar>
      </w:tblPr>
      <w:tblGrid>
        <w:gridCol w:w="722"/>
        <w:gridCol w:w="1552"/>
        <w:gridCol w:w="5974"/>
        <w:gridCol w:w="850"/>
      </w:tblGrid>
      <w:tr w14:paraId="5D4ADE5C">
        <w:tblPrEx>
          <w:tblCellMar>
            <w:top w:w="0" w:type="dxa"/>
            <w:left w:w="10" w:type="dxa"/>
            <w:bottom w:w="0" w:type="dxa"/>
            <w:right w:w="10" w:type="dxa"/>
          </w:tblCellMar>
        </w:tblPrEx>
        <w:trPr>
          <w:jc w:val="center"/>
        </w:trPr>
        <w:tc>
          <w:tcPr>
            <w:tcW w:w="72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55FC3E">
            <w:pPr>
              <w:rPr>
                <w:rFonts w:hint="eastAsia" w:ascii="宋体" w:hAnsi="宋体" w:cs="宋体"/>
                <w:b/>
                <w:bCs/>
                <w:sz w:val="24"/>
                <w:szCs w:val="24"/>
              </w:rPr>
            </w:pPr>
            <w:r>
              <w:rPr>
                <w:rFonts w:hint="eastAsia" w:ascii="宋体" w:hAnsi="宋体" w:cs="宋体"/>
                <w:b/>
                <w:bCs/>
                <w:sz w:val="24"/>
                <w:szCs w:val="24"/>
              </w:rPr>
              <w:t>序号</w:t>
            </w:r>
          </w:p>
        </w:tc>
        <w:tc>
          <w:tcPr>
            <w:tcW w:w="155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BAA99E">
            <w:pPr>
              <w:ind w:firstLine="241" w:firstLineChars="100"/>
              <w:rPr>
                <w:rFonts w:hint="eastAsia" w:ascii="宋体" w:hAnsi="宋体" w:cs="宋体"/>
                <w:b/>
                <w:bCs/>
                <w:sz w:val="24"/>
                <w:szCs w:val="24"/>
              </w:rPr>
            </w:pPr>
            <w:r>
              <w:rPr>
                <w:rFonts w:hint="eastAsia" w:ascii="宋体" w:hAnsi="宋体" w:cs="宋体"/>
                <w:b/>
                <w:bCs/>
                <w:sz w:val="24"/>
                <w:szCs w:val="24"/>
              </w:rPr>
              <w:t>评分因素</w:t>
            </w:r>
          </w:p>
        </w:tc>
        <w:tc>
          <w:tcPr>
            <w:tcW w:w="5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09FD18">
            <w:pPr>
              <w:ind w:firstLine="2168" w:firstLineChars="900"/>
              <w:rPr>
                <w:rFonts w:hint="eastAsia" w:ascii="宋体" w:hAnsi="宋体" w:cs="宋体"/>
                <w:b/>
                <w:bCs/>
                <w:sz w:val="24"/>
                <w:szCs w:val="24"/>
              </w:rPr>
            </w:pPr>
            <w:r>
              <w:rPr>
                <w:rFonts w:hint="eastAsia" w:ascii="宋体" w:hAnsi="宋体" w:cs="宋体"/>
                <w:b/>
                <w:bCs/>
                <w:sz w:val="24"/>
                <w:szCs w:val="24"/>
              </w:rPr>
              <w:t>评分标准</w:t>
            </w:r>
          </w:p>
        </w:tc>
        <w:tc>
          <w:tcPr>
            <w:tcW w:w="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3F74BB">
            <w:pPr>
              <w:rPr>
                <w:rFonts w:hint="eastAsia" w:ascii="宋体" w:hAnsi="宋体" w:cs="宋体"/>
                <w:b/>
                <w:bCs/>
                <w:sz w:val="24"/>
                <w:szCs w:val="24"/>
              </w:rPr>
            </w:pPr>
            <w:r>
              <w:rPr>
                <w:rFonts w:hint="eastAsia" w:ascii="宋体" w:hAnsi="宋体" w:cs="宋体"/>
                <w:b/>
                <w:bCs/>
                <w:sz w:val="24"/>
                <w:szCs w:val="24"/>
              </w:rPr>
              <w:t>最高</w:t>
            </w:r>
          </w:p>
          <w:p w14:paraId="356E233E">
            <w:pPr>
              <w:rPr>
                <w:rFonts w:hint="eastAsia" w:ascii="宋体" w:hAnsi="宋体" w:cs="宋体"/>
                <w:b/>
                <w:bCs/>
                <w:sz w:val="24"/>
                <w:szCs w:val="24"/>
              </w:rPr>
            </w:pPr>
            <w:r>
              <w:rPr>
                <w:rFonts w:hint="eastAsia" w:ascii="宋体" w:hAnsi="宋体" w:cs="宋体"/>
                <w:b/>
                <w:bCs/>
                <w:sz w:val="24"/>
                <w:szCs w:val="24"/>
              </w:rPr>
              <w:t>分值</w:t>
            </w:r>
          </w:p>
        </w:tc>
      </w:tr>
      <w:tr w14:paraId="08CE733B">
        <w:tblPrEx>
          <w:tblCellMar>
            <w:top w:w="0" w:type="dxa"/>
            <w:left w:w="10" w:type="dxa"/>
            <w:bottom w:w="0" w:type="dxa"/>
            <w:right w:w="10" w:type="dxa"/>
          </w:tblCellMar>
        </w:tblPrEx>
        <w:trPr>
          <w:trHeight w:val="1010" w:hRule="atLeast"/>
          <w:jc w:val="center"/>
        </w:trPr>
        <w:tc>
          <w:tcPr>
            <w:tcW w:w="722"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1C414B49">
            <w:pPr>
              <w:jc w:val="center"/>
              <w:rPr>
                <w:rFonts w:hint="eastAsia" w:ascii="宋体" w:hAnsi="宋体" w:cs="宋体"/>
                <w:sz w:val="22"/>
              </w:rPr>
            </w:pPr>
            <w:r>
              <w:rPr>
                <w:rFonts w:hint="eastAsia" w:ascii="宋体" w:hAnsi="宋体" w:cs="宋体"/>
                <w:sz w:val="22"/>
              </w:rPr>
              <w:t>1</w:t>
            </w:r>
          </w:p>
        </w:tc>
        <w:tc>
          <w:tcPr>
            <w:tcW w:w="1552"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0FF1FD86">
            <w:pPr>
              <w:rPr>
                <w:rFonts w:hint="eastAsia" w:ascii="宋体" w:hAnsi="宋体" w:cs="宋体"/>
                <w:sz w:val="22"/>
              </w:rPr>
            </w:pPr>
            <w:r>
              <w:rPr>
                <w:rFonts w:hint="eastAsia" w:ascii="宋体" w:hAnsi="宋体"/>
                <w:sz w:val="22"/>
              </w:rPr>
              <w:t>服务方案内容</w:t>
            </w:r>
          </w:p>
        </w:tc>
        <w:tc>
          <w:tcPr>
            <w:tcW w:w="59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7B487">
            <w:pPr>
              <w:rPr>
                <w:rFonts w:hint="eastAsia" w:ascii="宋体" w:hAnsi="宋体"/>
                <w:sz w:val="22"/>
              </w:rPr>
            </w:pPr>
            <w:r>
              <w:rPr>
                <w:rFonts w:hint="eastAsia" w:ascii="宋体" w:hAnsi="宋体"/>
                <w:sz w:val="22"/>
              </w:rPr>
              <w:t>紧密结合项目实际情况及用户需求，提出专业、全面、可行的项目具体服务方案（方案内容包括但不限于审计工作预案、工作计划安排、工作人员选用及替换等其他意外情况的处理等）评审小组横向比较赋分：</w:t>
            </w:r>
          </w:p>
          <w:p w14:paraId="43F57762">
            <w:pPr>
              <w:rPr>
                <w:rFonts w:hint="eastAsia" w:ascii="宋体" w:hAnsi="宋体"/>
                <w:sz w:val="22"/>
              </w:rPr>
            </w:pPr>
            <w:r>
              <w:rPr>
                <w:rFonts w:hint="eastAsia" w:ascii="宋体" w:hAnsi="宋体"/>
                <w:sz w:val="22"/>
              </w:rPr>
              <w:t>（1）服务方案细项内容完整，审计重点分析准确，应对措施经济、合理，得 30 分；</w:t>
            </w:r>
          </w:p>
          <w:p w14:paraId="3AF1CA5C">
            <w:pPr>
              <w:rPr>
                <w:rFonts w:hint="eastAsia" w:ascii="宋体" w:hAnsi="宋体"/>
                <w:sz w:val="22"/>
              </w:rPr>
            </w:pPr>
            <w:r>
              <w:rPr>
                <w:rFonts w:hint="eastAsia" w:ascii="宋体" w:hAnsi="宋体"/>
                <w:sz w:val="22"/>
              </w:rPr>
              <w:t>（2）服务方案细项内容基本完整；审计重点 分析大体合理，应对措施合理，得 25 分；</w:t>
            </w:r>
          </w:p>
          <w:p w14:paraId="68ED0A81">
            <w:pPr>
              <w:rPr>
                <w:rFonts w:hint="eastAsia" w:ascii="宋体" w:hAnsi="宋体"/>
                <w:sz w:val="22"/>
              </w:rPr>
            </w:pPr>
            <w:r>
              <w:rPr>
                <w:rFonts w:hint="eastAsia" w:ascii="宋体" w:hAnsi="宋体"/>
                <w:sz w:val="22"/>
              </w:rPr>
              <w:t>（3）服务方案细项内容有欠缺，审计重点阐述不清晰，或者应对措施可行性欠妥，得20 分；</w:t>
            </w:r>
          </w:p>
          <w:p w14:paraId="68B8E3F5">
            <w:pPr>
              <w:rPr>
                <w:rFonts w:hint="eastAsia" w:ascii="宋体" w:hAnsi="宋体"/>
                <w:sz w:val="22"/>
              </w:rPr>
            </w:pPr>
            <w:r>
              <w:rPr>
                <w:rFonts w:hint="eastAsia" w:ascii="宋体" w:hAnsi="宋体"/>
                <w:sz w:val="22"/>
              </w:rPr>
              <w:t>（4）服务方案细项内容有缺失，提供的方案描述不周密，或者审计重点分析不准确，或者应对措施不合理，得 15 分；</w:t>
            </w:r>
          </w:p>
          <w:p w14:paraId="180E19D4">
            <w:pPr>
              <w:rPr>
                <w:rFonts w:hint="eastAsia" w:ascii="宋体" w:hAnsi="宋体" w:cs="宋体"/>
                <w:sz w:val="22"/>
              </w:rPr>
            </w:pPr>
            <w:r>
              <w:rPr>
                <w:rFonts w:hint="eastAsia" w:ascii="宋体" w:hAnsi="宋体"/>
                <w:sz w:val="22"/>
              </w:rPr>
              <w:t>（5）不提供不得分。</w:t>
            </w:r>
          </w:p>
        </w:tc>
        <w:tc>
          <w:tcPr>
            <w:tcW w:w="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019C1A">
            <w:pPr>
              <w:jc w:val="center"/>
              <w:rPr>
                <w:rFonts w:hint="eastAsia" w:ascii="宋体" w:hAnsi="宋体" w:cs="宋体"/>
                <w:sz w:val="22"/>
              </w:rPr>
            </w:pPr>
            <w:r>
              <w:rPr>
                <w:rFonts w:hint="eastAsia" w:ascii="宋体" w:hAnsi="宋体" w:cs="宋体"/>
                <w:sz w:val="22"/>
              </w:rPr>
              <w:t>30</w:t>
            </w:r>
          </w:p>
        </w:tc>
      </w:tr>
      <w:tr w14:paraId="5D204E40">
        <w:tblPrEx>
          <w:tblCellMar>
            <w:top w:w="0" w:type="dxa"/>
            <w:left w:w="10" w:type="dxa"/>
            <w:bottom w:w="0" w:type="dxa"/>
            <w:right w:w="10" w:type="dxa"/>
          </w:tblCellMar>
        </w:tblPrEx>
        <w:trPr>
          <w:trHeight w:val="1848" w:hRule="atLeast"/>
          <w:jc w:val="center"/>
        </w:trPr>
        <w:tc>
          <w:tcPr>
            <w:tcW w:w="722" w:type="dxa"/>
            <w:tcBorders>
              <w:top w:val="single" w:color="auto" w:sz="4" w:space="0"/>
              <w:left w:val="single" w:color="auto" w:sz="4" w:space="0"/>
              <w:bottom w:val="single" w:color="auto" w:sz="4" w:space="0"/>
              <w:right w:val="single" w:color="000000" w:sz="4" w:space="0"/>
            </w:tcBorders>
            <w:shd w:val="clear" w:color="000000" w:fill="FFFFFF"/>
            <w:tcMar>
              <w:left w:w="108" w:type="dxa"/>
              <w:right w:w="108" w:type="dxa"/>
            </w:tcMar>
            <w:vAlign w:val="center"/>
          </w:tcPr>
          <w:p w14:paraId="7327538E">
            <w:pPr>
              <w:jc w:val="center"/>
              <w:rPr>
                <w:rFonts w:hint="eastAsia" w:ascii="宋体" w:hAnsi="宋体" w:cs="宋体"/>
                <w:sz w:val="22"/>
              </w:rPr>
            </w:pPr>
            <w:r>
              <w:rPr>
                <w:rFonts w:hint="eastAsia" w:ascii="宋体" w:hAnsi="宋体" w:cs="宋体"/>
                <w:sz w:val="22"/>
              </w:rPr>
              <w:t>2</w:t>
            </w:r>
          </w:p>
        </w:tc>
        <w:tc>
          <w:tcPr>
            <w:tcW w:w="1552" w:type="dxa"/>
            <w:tcBorders>
              <w:top w:val="single" w:color="auto"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14:paraId="46BD6679">
            <w:pPr>
              <w:rPr>
                <w:rFonts w:hint="eastAsia" w:ascii="宋体" w:hAnsi="宋体" w:cs="宋体"/>
                <w:sz w:val="22"/>
              </w:rPr>
            </w:pPr>
            <w:r>
              <w:rPr>
                <w:rFonts w:hint="eastAsia" w:ascii="宋体" w:hAnsi="宋体"/>
                <w:sz w:val="22"/>
              </w:rPr>
              <w:t>售后服务方案</w:t>
            </w:r>
          </w:p>
        </w:tc>
        <w:tc>
          <w:tcPr>
            <w:tcW w:w="5974" w:type="dxa"/>
            <w:tcBorders>
              <w:top w:val="single" w:color="auto" w:sz="4" w:space="0"/>
              <w:left w:val="single" w:color="000000" w:sz="4" w:space="0"/>
              <w:bottom w:val="single" w:color="auto" w:sz="4" w:space="0"/>
              <w:right w:val="single" w:color="000000" w:sz="4" w:space="0"/>
            </w:tcBorders>
            <w:shd w:val="clear" w:color="000000" w:fill="FFFFFF"/>
            <w:vAlign w:val="center"/>
          </w:tcPr>
          <w:p w14:paraId="6B10FB68">
            <w:pPr>
              <w:rPr>
                <w:rFonts w:hint="eastAsia" w:ascii="宋体" w:hAnsi="宋体" w:cs="宋体"/>
                <w:sz w:val="22"/>
              </w:rPr>
            </w:pPr>
            <w:r>
              <w:rPr>
                <w:rFonts w:hint="eastAsia" w:ascii="宋体" w:hAnsi="宋体" w:cs="宋体"/>
                <w:sz w:val="22"/>
              </w:rPr>
              <w:t>根据投标人提供的售后服务方案（包括但不限于采购人审计材料管理、审计材料移交、档案管理等）评审小组横向比较赋分：</w:t>
            </w:r>
          </w:p>
          <w:p w14:paraId="0589C19E">
            <w:pPr>
              <w:rPr>
                <w:rFonts w:hint="eastAsia" w:ascii="宋体" w:hAnsi="宋体" w:cs="宋体"/>
                <w:sz w:val="22"/>
              </w:rPr>
            </w:pPr>
            <w:r>
              <w:rPr>
                <w:rFonts w:hint="eastAsia" w:ascii="宋体" w:hAnsi="宋体" w:cs="宋体"/>
                <w:sz w:val="22"/>
              </w:rPr>
              <w:t>（1）提供的售后服务方案有效性、合理性、可行性强的，得15分；</w:t>
            </w:r>
          </w:p>
          <w:p w14:paraId="10D56F31">
            <w:pPr>
              <w:rPr>
                <w:rFonts w:hint="eastAsia" w:ascii="宋体" w:hAnsi="宋体" w:cs="宋体"/>
                <w:sz w:val="22"/>
              </w:rPr>
            </w:pPr>
            <w:r>
              <w:rPr>
                <w:rFonts w:hint="eastAsia" w:ascii="宋体" w:hAnsi="宋体" w:cs="宋体"/>
                <w:sz w:val="22"/>
              </w:rPr>
              <w:t>（2）提供的售后服务方案有效性、合理性、可行性一般的，得 10分；</w:t>
            </w:r>
          </w:p>
          <w:p w14:paraId="67176565">
            <w:pPr>
              <w:rPr>
                <w:rFonts w:hint="eastAsia" w:ascii="宋体" w:hAnsi="宋体" w:cs="宋体"/>
                <w:sz w:val="22"/>
              </w:rPr>
            </w:pPr>
            <w:r>
              <w:rPr>
                <w:rFonts w:hint="eastAsia" w:ascii="宋体" w:hAnsi="宋体" w:cs="宋体"/>
                <w:sz w:val="22"/>
              </w:rPr>
              <w:t>（3）提供的售后服务方案有效性、合理性、可行性差的，得5 分。</w:t>
            </w:r>
          </w:p>
          <w:p w14:paraId="0799AF2F">
            <w:pPr>
              <w:rPr>
                <w:rFonts w:hint="eastAsia" w:ascii="宋体" w:hAnsi="宋体" w:cs="宋体"/>
                <w:sz w:val="22"/>
              </w:rPr>
            </w:pPr>
            <w:r>
              <w:rPr>
                <w:rFonts w:hint="eastAsia" w:ascii="宋体" w:hAnsi="宋体" w:cs="宋体"/>
                <w:sz w:val="22"/>
              </w:rPr>
              <w:t>（4）不提供不得分。</w:t>
            </w:r>
          </w:p>
        </w:tc>
        <w:tc>
          <w:tcPr>
            <w:tcW w:w="850" w:type="dxa"/>
            <w:tcBorders>
              <w:top w:val="single" w:color="auto" w:sz="4" w:space="0"/>
              <w:left w:val="single" w:color="000000" w:sz="4" w:space="0"/>
              <w:bottom w:val="single" w:color="auto" w:sz="4" w:space="0"/>
              <w:right w:val="single" w:color="auto" w:sz="4" w:space="0"/>
            </w:tcBorders>
            <w:shd w:val="clear" w:color="000000" w:fill="FFFFFF"/>
            <w:tcMar>
              <w:left w:w="108" w:type="dxa"/>
              <w:right w:w="108" w:type="dxa"/>
            </w:tcMar>
            <w:vAlign w:val="center"/>
          </w:tcPr>
          <w:p w14:paraId="2DE2493C">
            <w:pPr>
              <w:jc w:val="center"/>
              <w:rPr>
                <w:rFonts w:hint="eastAsia" w:ascii="宋体" w:hAnsi="宋体" w:cs="宋体"/>
                <w:sz w:val="22"/>
              </w:rPr>
            </w:pPr>
            <w:r>
              <w:rPr>
                <w:rFonts w:hint="eastAsia" w:ascii="宋体" w:hAnsi="宋体" w:cs="宋体"/>
                <w:sz w:val="22"/>
              </w:rPr>
              <w:t>15</w:t>
            </w:r>
          </w:p>
        </w:tc>
      </w:tr>
      <w:tr w14:paraId="44624661">
        <w:tblPrEx>
          <w:tblCellMar>
            <w:top w:w="0" w:type="dxa"/>
            <w:left w:w="10" w:type="dxa"/>
            <w:bottom w:w="0" w:type="dxa"/>
            <w:right w:w="10" w:type="dxa"/>
          </w:tblCellMar>
        </w:tblPrEx>
        <w:trPr>
          <w:trHeight w:val="1592" w:hRule="atLeast"/>
          <w:jc w:val="center"/>
        </w:trPr>
        <w:tc>
          <w:tcPr>
            <w:tcW w:w="722" w:type="dxa"/>
            <w:tcBorders>
              <w:top w:val="single" w:color="auto"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14:paraId="3B66C3B8">
            <w:pPr>
              <w:jc w:val="center"/>
              <w:rPr>
                <w:rFonts w:hint="eastAsia" w:ascii="宋体" w:hAnsi="宋体" w:cs="宋体"/>
                <w:sz w:val="22"/>
              </w:rPr>
            </w:pPr>
            <w:r>
              <w:rPr>
                <w:rFonts w:hint="eastAsia" w:ascii="宋体" w:hAnsi="宋体" w:cs="宋体"/>
                <w:sz w:val="22"/>
              </w:rPr>
              <w:t>3</w:t>
            </w:r>
          </w:p>
        </w:tc>
        <w:tc>
          <w:tcPr>
            <w:tcW w:w="1552"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6F34D8">
            <w:pPr>
              <w:ind w:firstLine="220" w:firstLineChars="100"/>
              <w:rPr>
                <w:rFonts w:hint="eastAsia" w:ascii="宋体" w:hAnsi="宋体" w:cs="宋体"/>
                <w:sz w:val="22"/>
              </w:rPr>
            </w:pPr>
            <w:r>
              <w:rPr>
                <w:rFonts w:hint="eastAsia" w:ascii="宋体" w:hAnsi="宋体" w:cs="宋体"/>
                <w:sz w:val="22"/>
              </w:rPr>
              <w:t xml:space="preserve">类似业绩    </w:t>
            </w:r>
          </w:p>
        </w:tc>
        <w:tc>
          <w:tcPr>
            <w:tcW w:w="5974" w:type="dxa"/>
            <w:tcBorders>
              <w:top w:val="single" w:color="auto" w:sz="4" w:space="0"/>
              <w:left w:val="single" w:color="000000" w:sz="4" w:space="0"/>
              <w:bottom w:val="single" w:color="000000" w:sz="4" w:space="0"/>
              <w:right w:val="single" w:color="000000" w:sz="4" w:space="0"/>
            </w:tcBorders>
            <w:shd w:val="clear" w:color="000000" w:fill="FFFFFF"/>
            <w:vAlign w:val="center"/>
          </w:tcPr>
          <w:p w14:paraId="754B3BDA">
            <w:pPr>
              <w:rPr>
                <w:rFonts w:hint="eastAsia" w:ascii="宋体" w:hAnsi="宋体" w:cs="宋体"/>
                <w:sz w:val="22"/>
              </w:rPr>
            </w:pPr>
            <w:r>
              <w:rPr>
                <w:rFonts w:hint="eastAsia" w:ascii="宋体" w:hAnsi="宋体" w:cs="宋体"/>
                <w:sz w:val="22"/>
              </w:rPr>
              <w:t>提供自 2022年1月1日以来（以合同签订时间为准）供应商承担过审计类似业绩（包括但不限于财务收支及财务报表审计、资产清查审计、内部控制评价、采购项目评审、工程财务竣工决算等服务项目），每提供1个委托合同得 3 分，本项满分15分。</w:t>
            </w:r>
          </w:p>
          <w:p w14:paraId="6243FDEC">
            <w:pPr>
              <w:rPr>
                <w:rFonts w:hint="eastAsia" w:ascii="宋体" w:hAnsi="宋体" w:cs="宋体"/>
                <w:sz w:val="22"/>
              </w:rPr>
            </w:pPr>
            <w:r>
              <w:rPr>
                <w:rFonts w:hint="eastAsia" w:ascii="宋体" w:hAnsi="宋体" w:cs="宋体"/>
                <w:sz w:val="22"/>
              </w:rPr>
              <w:t>注：提供合同复印件。</w:t>
            </w:r>
          </w:p>
        </w:tc>
        <w:tc>
          <w:tcPr>
            <w:tcW w:w="850" w:type="dxa"/>
            <w:tcBorders>
              <w:top w:val="single" w:color="auto"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14:paraId="65713DF1">
            <w:pPr>
              <w:jc w:val="center"/>
              <w:rPr>
                <w:rFonts w:hint="eastAsia" w:ascii="宋体" w:hAnsi="宋体" w:cs="宋体"/>
                <w:sz w:val="22"/>
              </w:rPr>
            </w:pPr>
            <w:r>
              <w:rPr>
                <w:rFonts w:hint="eastAsia" w:ascii="宋体" w:hAnsi="宋体" w:cs="宋体"/>
                <w:sz w:val="22"/>
              </w:rPr>
              <w:t>15</w:t>
            </w:r>
          </w:p>
        </w:tc>
      </w:tr>
      <w:tr w14:paraId="1F5379D4">
        <w:tblPrEx>
          <w:tblCellMar>
            <w:top w:w="0" w:type="dxa"/>
            <w:left w:w="10" w:type="dxa"/>
            <w:bottom w:w="0" w:type="dxa"/>
            <w:right w:w="10" w:type="dxa"/>
          </w:tblCellMar>
        </w:tblPrEx>
        <w:trPr>
          <w:trHeight w:val="3858" w:hRule="atLeast"/>
          <w:jc w:val="center"/>
        </w:trPr>
        <w:tc>
          <w:tcPr>
            <w:tcW w:w="722" w:type="dxa"/>
            <w:tcBorders>
              <w:top w:val="single" w:color="000000" w:sz="4" w:space="0"/>
              <w:left w:val="single" w:color="auto" w:sz="4" w:space="0"/>
              <w:bottom w:val="single" w:color="auto" w:sz="4" w:space="0"/>
              <w:right w:val="single" w:color="000000" w:sz="4" w:space="0"/>
            </w:tcBorders>
            <w:shd w:val="clear" w:color="000000" w:fill="FFFFFF"/>
            <w:tcMar>
              <w:left w:w="108" w:type="dxa"/>
              <w:right w:w="108" w:type="dxa"/>
            </w:tcMar>
            <w:vAlign w:val="center"/>
          </w:tcPr>
          <w:p w14:paraId="0932CC6F">
            <w:pPr>
              <w:jc w:val="center"/>
              <w:rPr>
                <w:rFonts w:hint="eastAsia" w:ascii="宋体" w:hAnsi="宋体" w:cs="宋体"/>
                <w:sz w:val="22"/>
              </w:rPr>
            </w:pPr>
            <w:r>
              <w:rPr>
                <w:rFonts w:hint="eastAsia" w:ascii="宋体" w:hAnsi="宋体" w:cs="宋体"/>
                <w:sz w:val="22"/>
              </w:rPr>
              <w:t>4</w:t>
            </w:r>
          </w:p>
        </w:tc>
        <w:tc>
          <w:tcPr>
            <w:tcW w:w="1552"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14:paraId="7CD985F4">
            <w:pPr>
              <w:rPr>
                <w:rFonts w:hint="eastAsia" w:ascii="宋体" w:hAnsi="宋体" w:cs="宋体"/>
                <w:sz w:val="22"/>
              </w:rPr>
            </w:pPr>
            <w:r>
              <w:rPr>
                <w:rFonts w:hint="eastAsia" w:ascii="宋体" w:hAnsi="宋体" w:cs="宋体"/>
                <w:sz w:val="22"/>
              </w:rPr>
              <w:t xml:space="preserve">拟派投入团队人员             </w:t>
            </w:r>
          </w:p>
        </w:tc>
        <w:tc>
          <w:tcPr>
            <w:tcW w:w="5974" w:type="dxa"/>
            <w:tcBorders>
              <w:top w:val="single" w:color="000000" w:sz="4" w:space="0"/>
              <w:left w:val="single" w:color="000000" w:sz="4" w:space="0"/>
              <w:bottom w:val="single" w:color="auto" w:sz="4" w:space="0"/>
              <w:right w:val="single" w:color="000000" w:sz="4" w:space="0"/>
            </w:tcBorders>
            <w:shd w:val="clear" w:color="000000" w:fill="FFFFFF"/>
            <w:vAlign w:val="center"/>
          </w:tcPr>
          <w:p w14:paraId="3FF4D45B">
            <w:pPr>
              <w:rPr>
                <w:rFonts w:hint="eastAsia" w:ascii="宋体" w:hAnsi="宋体" w:cs="宋体"/>
                <w:sz w:val="22"/>
              </w:rPr>
            </w:pPr>
            <w:r>
              <w:rPr>
                <w:rFonts w:ascii="宋体" w:hAnsi="宋体" w:cs="宋体"/>
                <w:sz w:val="22"/>
              </w:rPr>
              <w:t>（1）项目组负责人：具备中国注册会计师资格证书且执业满</w:t>
            </w:r>
            <w:r>
              <w:rPr>
                <w:rFonts w:hint="eastAsia" w:ascii="宋体" w:hAnsi="宋体" w:cs="宋体"/>
                <w:sz w:val="22"/>
              </w:rPr>
              <w:t>3</w:t>
            </w:r>
            <w:r>
              <w:rPr>
                <w:rFonts w:ascii="宋体" w:hAnsi="宋体" w:cs="宋体"/>
                <w:sz w:val="22"/>
              </w:rPr>
              <w:t>年以上的，得</w:t>
            </w:r>
            <w:r>
              <w:rPr>
                <w:rFonts w:hint="eastAsia" w:ascii="宋体" w:hAnsi="宋体" w:cs="宋体"/>
                <w:sz w:val="22"/>
              </w:rPr>
              <w:t>3</w:t>
            </w:r>
            <w:r>
              <w:rPr>
                <w:rFonts w:ascii="宋体" w:hAnsi="宋体" w:cs="宋体"/>
                <w:sz w:val="22"/>
              </w:rPr>
              <w:t>分，本项最高得</w:t>
            </w:r>
            <w:r>
              <w:rPr>
                <w:rFonts w:hint="eastAsia" w:ascii="宋体" w:hAnsi="宋体" w:cs="宋体"/>
                <w:sz w:val="22"/>
              </w:rPr>
              <w:t>3</w:t>
            </w:r>
            <w:r>
              <w:rPr>
                <w:rFonts w:ascii="宋体" w:hAnsi="宋体" w:cs="宋体"/>
                <w:sz w:val="22"/>
              </w:rPr>
              <w:t>分；不满</w:t>
            </w:r>
            <w:r>
              <w:rPr>
                <w:rFonts w:hint="eastAsia" w:ascii="宋体" w:hAnsi="宋体" w:cs="宋体"/>
                <w:sz w:val="22"/>
              </w:rPr>
              <w:t>3</w:t>
            </w:r>
            <w:r>
              <w:rPr>
                <w:rFonts w:ascii="宋体" w:hAnsi="宋体" w:cs="宋体"/>
                <w:sz w:val="22"/>
              </w:rPr>
              <w:t>年的，每少1年扣1分。</w:t>
            </w:r>
          </w:p>
          <w:p w14:paraId="2E83847F">
            <w:pPr>
              <w:rPr>
                <w:rFonts w:hint="eastAsia" w:ascii="宋体" w:hAnsi="宋体" w:cs="宋体"/>
                <w:sz w:val="22"/>
              </w:rPr>
            </w:pPr>
            <w:r>
              <w:rPr>
                <w:rFonts w:ascii="宋体" w:hAnsi="宋体" w:cs="宋体"/>
                <w:sz w:val="22"/>
              </w:rPr>
              <w:t>（</w:t>
            </w:r>
            <w:r>
              <w:rPr>
                <w:rFonts w:hint="eastAsia" w:ascii="宋体" w:hAnsi="宋体" w:cs="宋体"/>
                <w:sz w:val="22"/>
              </w:rPr>
              <w:t>2</w:t>
            </w:r>
            <w:r>
              <w:rPr>
                <w:rFonts w:ascii="宋体" w:hAnsi="宋体" w:cs="宋体"/>
                <w:sz w:val="22"/>
              </w:rPr>
              <w:t>）项目组其他成员具备中级会计师及以上职称的，每人得</w:t>
            </w:r>
            <w:r>
              <w:rPr>
                <w:rFonts w:hint="eastAsia" w:ascii="宋体" w:hAnsi="宋体" w:cs="宋体"/>
                <w:sz w:val="22"/>
              </w:rPr>
              <w:t>2</w:t>
            </w:r>
            <w:r>
              <w:rPr>
                <w:rFonts w:ascii="宋体" w:hAnsi="宋体" w:cs="宋体"/>
                <w:sz w:val="22"/>
              </w:rPr>
              <w:t>分，本项最高得4分。</w:t>
            </w:r>
          </w:p>
          <w:p w14:paraId="067EC306">
            <w:r>
              <w:rPr>
                <w:rFonts w:ascii="宋体" w:hAnsi="宋体" w:cs="宋体"/>
                <w:sz w:val="22"/>
              </w:rPr>
              <w:t>（4）项目组成员达到</w:t>
            </w:r>
            <w:bookmarkStart w:id="5" w:name="_GoBack"/>
            <w:bookmarkEnd w:id="5"/>
            <w:r>
              <w:rPr>
                <w:rFonts w:hint="eastAsia" w:ascii="宋体" w:hAnsi="宋体" w:cs="宋体"/>
                <w:sz w:val="22"/>
              </w:rPr>
              <w:t>4</w:t>
            </w:r>
            <w:r>
              <w:rPr>
                <w:rFonts w:ascii="宋体" w:hAnsi="宋体" w:cs="宋体"/>
                <w:sz w:val="22"/>
              </w:rPr>
              <w:t>人或以上的，得</w:t>
            </w:r>
            <w:r>
              <w:rPr>
                <w:rFonts w:hint="eastAsia" w:ascii="宋体" w:hAnsi="宋体" w:cs="宋体"/>
                <w:sz w:val="22"/>
              </w:rPr>
              <w:t>3</w:t>
            </w:r>
            <w:r>
              <w:rPr>
                <w:rFonts w:ascii="宋体" w:hAnsi="宋体" w:cs="宋体"/>
                <w:sz w:val="22"/>
              </w:rPr>
              <w:t>分；项目组成员达到</w:t>
            </w:r>
            <w:r>
              <w:rPr>
                <w:rFonts w:hint="eastAsia" w:ascii="宋体" w:hAnsi="宋体" w:cs="宋体"/>
                <w:sz w:val="22"/>
              </w:rPr>
              <w:t>3</w:t>
            </w:r>
            <w:r>
              <w:rPr>
                <w:rFonts w:ascii="宋体" w:hAnsi="宋体" w:cs="宋体"/>
                <w:sz w:val="22"/>
              </w:rPr>
              <w:t>人的，得</w:t>
            </w:r>
            <w:r>
              <w:rPr>
                <w:rFonts w:hint="eastAsia" w:ascii="宋体" w:hAnsi="宋体" w:cs="宋体"/>
                <w:sz w:val="22"/>
              </w:rPr>
              <w:t>2</w:t>
            </w:r>
            <w:r>
              <w:rPr>
                <w:rFonts w:ascii="宋体" w:hAnsi="宋体" w:cs="宋体"/>
                <w:sz w:val="22"/>
              </w:rPr>
              <w:t>分；项目组成员不足</w:t>
            </w:r>
            <w:r>
              <w:rPr>
                <w:rFonts w:hint="eastAsia" w:ascii="宋体" w:hAnsi="宋体" w:cs="宋体"/>
                <w:sz w:val="22"/>
              </w:rPr>
              <w:t>3</w:t>
            </w:r>
            <w:r>
              <w:rPr>
                <w:rFonts w:ascii="宋体" w:hAnsi="宋体" w:cs="宋体"/>
                <w:sz w:val="22"/>
              </w:rPr>
              <w:t>人的，得0分。</w:t>
            </w:r>
            <w:r>
              <w:rPr>
                <w:rFonts w:hint="eastAsia" w:ascii="宋体" w:hAnsi="宋体" w:cs="宋体"/>
                <w:sz w:val="22"/>
              </w:rPr>
              <w:t>注：证明材料提供执业证书、职称证书和在本单位 （或分支机构）缴纳2025年任意一个月社保的凭证，复印件加盖公章。</w:t>
            </w:r>
          </w:p>
        </w:tc>
        <w:tc>
          <w:tcPr>
            <w:tcW w:w="850" w:type="dxa"/>
            <w:tcBorders>
              <w:top w:val="single" w:color="000000" w:sz="4" w:space="0"/>
              <w:left w:val="single" w:color="000000" w:sz="4" w:space="0"/>
              <w:bottom w:val="single" w:color="auto" w:sz="4" w:space="0"/>
              <w:right w:val="single" w:color="auto" w:sz="4" w:space="0"/>
            </w:tcBorders>
            <w:shd w:val="clear" w:color="000000" w:fill="FFFFFF"/>
            <w:tcMar>
              <w:left w:w="108" w:type="dxa"/>
              <w:right w:w="108" w:type="dxa"/>
            </w:tcMar>
            <w:vAlign w:val="center"/>
          </w:tcPr>
          <w:p w14:paraId="480C6A36">
            <w:pPr>
              <w:jc w:val="center"/>
              <w:rPr>
                <w:rFonts w:hint="eastAsia" w:ascii="宋体" w:hAnsi="宋体" w:cs="宋体"/>
                <w:sz w:val="22"/>
              </w:rPr>
            </w:pPr>
            <w:r>
              <w:rPr>
                <w:rFonts w:hint="eastAsia" w:ascii="宋体" w:hAnsi="宋体" w:cs="宋体"/>
                <w:sz w:val="22"/>
              </w:rPr>
              <w:t>10</w:t>
            </w:r>
          </w:p>
        </w:tc>
      </w:tr>
      <w:tr w14:paraId="1E752BCD">
        <w:tblPrEx>
          <w:tblCellMar>
            <w:top w:w="0" w:type="dxa"/>
            <w:left w:w="10" w:type="dxa"/>
            <w:bottom w:w="0" w:type="dxa"/>
            <w:right w:w="10" w:type="dxa"/>
          </w:tblCellMar>
        </w:tblPrEx>
        <w:trPr>
          <w:trHeight w:val="1448" w:hRule="atLeast"/>
          <w:jc w:val="center"/>
        </w:trPr>
        <w:tc>
          <w:tcPr>
            <w:tcW w:w="722" w:type="dxa"/>
            <w:tcBorders>
              <w:top w:val="single" w:color="auto" w:sz="4" w:space="0"/>
              <w:left w:val="single" w:color="auto" w:sz="4" w:space="0"/>
              <w:right w:val="single" w:color="000000" w:sz="4" w:space="0"/>
            </w:tcBorders>
            <w:shd w:val="clear" w:color="000000" w:fill="FFFFFF"/>
            <w:tcMar>
              <w:left w:w="108" w:type="dxa"/>
              <w:right w:w="108" w:type="dxa"/>
            </w:tcMar>
            <w:vAlign w:val="center"/>
          </w:tcPr>
          <w:p w14:paraId="6075762E">
            <w:pPr>
              <w:jc w:val="center"/>
              <w:rPr>
                <w:rFonts w:hint="eastAsia" w:ascii="宋体" w:hAnsi="宋体" w:cs="宋体"/>
                <w:sz w:val="22"/>
              </w:rPr>
            </w:pPr>
            <w:r>
              <w:rPr>
                <w:rFonts w:hint="eastAsia" w:ascii="宋体" w:hAnsi="宋体" w:cs="宋体"/>
                <w:sz w:val="22"/>
              </w:rPr>
              <w:t>5</w:t>
            </w:r>
          </w:p>
        </w:tc>
        <w:tc>
          <w:tcPr>
            <w:tcW w:w="1552" w:type="dxa"/>
            <w:tcBorders>
              <w:top w:val="single" w:color="auto" w:sz="4" w:space="0"/>
              <w:left w:val="single" w:color="000000" w:sz="4" w:space="0"/>
              <w:right w:val="single" w:color="000000" w:sz="4" w:space="0"/>
            </w:tcBorders>
            <w:shd w:val="clear" w:color="000000" w:fill="FFFFFF"/>
            <w:tcMar>
              <w:left w:w="108" w:type="dxa"/>
              <w:right w:w="108" w:type="dxa"/>
            </w:tcMar>
            <w:vAlign w:val="center"/>
          </w:tcPr>
          <w:p w14:paraId="1543BD72">
            <w:pPr>
              <w:ind w:firstLine="220" w:firstLineChars="100"/>
              <w:rPr>
                <w:rFonts w:hint="eastAsia" w:ascii="宋体" w:hAnsi="宋体" w:cs="宋体"/>
                <w:sz w:val="22"/>
              </w:rPr>
            </w:pPr>
            <w:r>
              <w:rPr>
                <w:rFonts w:hint="eastAsia" w:ascii="宋体" w:hAnsi="宋体" w:cs="宋体"/>
                <w:sz w:val="22"/>
              </w:rPr>
              <w:t>价格项</w:t>
            </w:r>
          </w:p>
        </w:tc>
        <w:tc>
          <w:tcPr>
            <w:tcW w:w="5974" w:type="dxa"/>
            <w:tcBorders>
              <w:top w:val="single" w:color="auto" w:sz="4" w:space="0"/>
              <w:left w:val="single" w:color="000000" w:sz="4" w:space="0"/>
              <w:right w:val="single" w:color="000000" w:sz="4" w:space="0"/>
            </w:tcBorders>
            <w:shd w:val="clear" w:color="000000" w:fill="FFFFFF"/>
            <w:vAlign w:val="center"/>
          </w:tcPr>
          <w:p w14:paraId="62C7861E">
            <w:pPr>
              <w:rPr>
                <w:rFonts w:hint="eastAsia" w:ascii="宋体" w:hAnsi="宋体" w:cs="宋体"/>
                <w:sz w:val="22"/>
              </w:rPr>
            </w:pPr>
            <w:r>
              <w:rPr>
                <w:rFonts w:hint="eastAsia" w:ascii="宋体" w:hAnsi="宋体" w:cs="宋体"/>
                <w:sz w:val="22"/>
              </w:rPr>
              <w:t>满足招标文件要求且价格最低的有效投标价为基准价，其价格分为满分。</w:t>
            </w:r>
          </w:p>
          <w:p w14:paraId="1B712696">
            <w:pPr>
              <w:rPr>
                <w:rFonts w:hint="eastAsia" w:ascii="宋体" w:hAnsi="宋体" w:cs="宋体"/>
                <w:sz w:val="22"/>
              </w:rPr>
            </w:pPr>
            <w:r>
              <w:rPr>
                <w:rFonts w:hint="eastAsia" w:ascii="宋体" w:hAnsi="宋体" w:cs="宋体"/>
                <w:sz w:val="22"/>
              </w:rPr>
              <w:t>其他投标人的价格分统一按照下列公式计算：价格分=(基准价／投标报价)×评标分值</w:t>
            </w:r>
          </w:p>
        </w:tc>
        <w:tc>
          <w:tcPr>
            <w:tcW w:w="850" w:type="dxa"/>
            <w:tcBorders>
              <w:top w:val="single" w:color="auto" w:sz="4" w:space="0"/>
              <w:left w:val="single" w:color="000000" w:sz="4" w:space="0"/>
              <w:right w:val="single" w:color="auto" w:sz="4" w:space="0"/>
            </w:tcBorders>
            <w:shd w:val="clear" w:color="000000" w:fill="FFFFFF"/>
            <w:tcMar>
              <w:left w:w="108" w:type="dxa"/>
              <w:right w:w="108" w:type="dxa"/>
            </w:tcMar>
            <w:vAlign w:val="center"/>
          </w:tcPr>
          <w:p w14:paraId="5EE1FB5E">
            <w:pPr>
              <w:jc w:val="center"/>
              <w:rPr>
                <w:rFonts w:hint="eastAsia" w:ascii="宋体" w:hAnsi="宋体" w:cs="宋体"/>
                <w:sz w:val="22"/>
              </w:rPr>
            </w:pPr>
            <w:r>
              <w:rPr>
                <w:rFonts w:hint="eastAsia" w:ascii="宋体" w:hAnsi="宋体" w:cs="宋体"/>
                <w:sz w:val="22"/>
              </w:rPr>
              <w:t>30</w:t>
            </w:r>
          </w:p>
        </w:tc>
      </w:tr>
      <w:tr w14:paraId="092D1138">
        <w:tblPrEx>
          <w:tblCellMar>
            <w:top w:w="0" w:type="dxa"/>
            <w:left w:w="10" w:type="dxa"/>
            <w:bottom w:w="0" w:type="dxa"/>
            <w:right w:w="10" w:type="dxa"/>
          </w:tblCellMar>
        </w:tblPrEx>
        <w:trPr>
          <w:trHeight w:val="447" w:hRule="atLeast"/>
          <w:jc w:val="center"/>
        </w:trPr>
        <w:tc>
          <w:tcPr>
            <w:tcW w:w="8248"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1E2B78">
            <w:pPr>
              <w:jc w:val="center"/>
              <w:rPr>
                <w:rFonts w:hint="eastAsia" w:ascii="宋体" w:hAnsi="宋体" w:cs="宋体"/>
                <w:b/>
                <w:bCs/>
                <w:sz w:val="24"/>
                <w:szCs w:val="24"/>
              </w:rPr>
            </w:pPr>
            <w:r>
              <w:rPr>
                <w:rFonts w:hint="eastAsia" w:ascii="宋体" w:hAnsi="宋体" w:cs="宋体"/>
                <w:b/>
                <w:bCs/>
                <w:sz w:val="24"/>
                <w:szCs w:val="24"/>
              </w:rPr>
              <w:t>满  分</w:t>
            </w:r>
          </w:p>
        </w:tc>
        <w:tc>
          <w:tcPr>
            <w:tcW w:w="8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7665D2">
            <w:pPr>
              <w:jc w:val="center"/>
              <w:rPr>
                <w:rFonts w:hint="eastAsia" w:ascii="宋体" w:hAnsi="宋体" w:cs="宋体"/>
                <w:sz w:val="24"/>
                <w:szCs w:val="24"/>
              </w:rPr>
            </w:pPr>
            <w:r>
              <w:rPr>
                <w:rFonts w:hint="eastAsia" w:ascii="宋体" w:hAnsi="宋体" w:cs="宋体"/>
                <w:sz w:val="22"/>
              </w:rPr>
              <w:t>100</w:t>
            </w:r>
          </w:p>
        </w:tc>
      </w:tr>
    </w:tbl>
    <w:p w14:paraId="20FA426D">
      <w:pPr>
        <w:tabs>
          <w:tab w:val="left" w:pos="8280"/>
        </w:tabs>
        <w:spacing w:line="360" w:lineRule="auto"/>
        <w:ind w:firstLine="2530" w:firstLineChars="700"/>
        <w:rPr>
          <w:rFonts w:hint="eastAsia" w:ascii="宋体" w:hAnsi="宋体" w:cs="宋体"/>
          <w:b/>
          <w:sz w:val="36"/>
          <w:szCs w:val="36"/>
        </w:rPr>
      </w:pPr>
    </w:p>
    <w:p w14:paraId="5F15299A">
      <w:pPr>
        <w:autoSpaceDE w:val="0"/>
        <w:autoSpaceDN w:val="0"/>
        <w:adjustRightInd w:val="0"/>
        <w:spacing w:line="360" w:lineRule="auto"/>
        <w:rPr>
          <w:rFonts w:hint="eastAsia" w:ascii="仿宋_GB2312" w:eastAsia="仿宋_GB2312"/>
          <w:color w:val="000000"/>
          <w:sz w:val="24"/>
          <w:u w:val="none"/>
          <w:lang w:val="en-US" w:eastAsia="zh-CN"/>
        </w:rPr>
      </w:pPr>
    </w:p>
    <w:p w14:paraId="73DD2E7F">
      <w:pPr>
        <w:pStyle w:val="2"/>
        <w:rPr>
          <w:rFonts w:hint="eastAsia" w:ascii="仿宋_GB2312" w:eastAsia="仿宋_GB2312"/>
          <w:color w:val="000000"/>
          <w:sz w:val="24"/>
          <w:u w:val="none"/>
          <w:lang w:val="en-US" w:eastAsia="zh-CN"/>
        </w:rPr>
      </w:pPr>
    </w:p>
    <w:p w14:paraId="46BA70FA">
      <w:pPr>
        <w:pStyle w:val="2"/>
        <w:rPr>
          <w:rFonts w:hint="eastAsia" w:ascii="仿宋_GB2312" w:eastAsia="仿宋_GB2312"/>
          <w:color w:val="000000"/>
          <w:sz w:val="24"/>
          <w:u w:val="none"/>
          <w:lang w:val="en-US" w:eastAsia="zh-CN"/>
        </w:rPr>
      </w:pPr>
    </w:p>
    <w:p w14:paraId="7CE5D67F">
      <w:pPr>
        <w:pStyle w:val="2"/>
        <w:rPr>
          <w:rFonts w:hint="eastAsia" w:ascii="仿宋_GB2312" w:eastAsia="仿宋_GB2312"/>
          <w:color w:val="000000"/>
          <w:sz w:val="24"/>
          <w:u w:val="none"/>
          <w:lang w:val="en-US" w:eastAsia="zh-CN"/>
        </w:rPr>
      </w:pPr>
    </w:p>
    <w:p w14:paraId="68FEE5CC">
      <w:pPr>
        <w:pStyle w:val="2"/>
        <w:rPr>
          <w:rFonts w:hint="eastAsia" w:ascii="仿宋_GB2312" w:eastAsia="仿宋_GB2312"/>
          <w:color w:val="000000"/>
          <w:sz w:val="24"/>
          <w:u w:val="none"/>
          <w:lang w:val="en-US" w:eastAsia="zh-CN"/>
        </w:rPr>
      </w:pPr>
    </w:p>
    <w:p w14:paraId="1FD1425D">
      <w:pPr>
        <w:pStyle w:val="2"/>
        <w:rPr>
          <w:rFonts w:hint="eastAsia" w:ascii="仿宋_GB2312" w:eastAsia="仿宋_GB2312"/>
          <w:color w:val="000000"/>
          <w:sz w:val="24"/>
          <w:u w:val="none"/>
          <w:lang w:val="en-US" w:eastAsia="zh-CN"/>
        </w:rPr>
      </w:pPr>
    </w:p>
    <w:p w14:paraId="6E918829">
      <w:pPr>
        <w:pStyle w:val="2"/>
        <w:rPr>
          <w:rFonts w:hint="eastAsia" w:ascii="仿宋_GB2312" w:eastAsia="仿宋_GB2312"/>
          <w:color w:val="000000"/>
          <w:sz w:val="24"/>
          <w:u w:val="none"/>
          <w:lang w:val="en-US" w:eastAsia="zh-CN"/>
        </w:rPr>
      </w:pPr>
    </w:p>
    <w:p w14:paraId="79C9D451">
      <w:pPr>
        <w:pStyle w:val="2"/>
        <w:rPr>
          <w:rFonts w:hint="eastAsia" w:ascii="仿宋_GB2312" w:eastAsia="仿宋_GB2312"/>
          <w:color w:val="000000"/>
          <w:sz w:val="24"/>
          <w:u w:val="none"/>
          <w:lang w:val="en-US" w:eastAsia="zh-CN"/>
        </w:rPr>
      </w:pPr>
    </w:p>
    <w:p w14:paraId="55165509">
      <w:pPr>
        <w:pStyle w:val="2"/>
        <w:rPr>
          <w:rFonts w:hint="eastAsia" w:ascii="仿宋_GB2312" w:eastAsia="仿宋_GB2312"/>
          <w:color w:val="000000"/>
          <w:sz w:val="24"/>
          <w:u w:val="none"/>
          <w:lang w:val="en-US" w:eastAsia="zh-CN"/>
        </w:rPr>
      </w:pPr>
    </w:p>
    <w:p w14:paraId="5777D19E">
      <w:pPr>
        <w:pStyle w:val="2"/>
        <w:rPr>
          <w:rFonts w:hint="eastAsia" w:ascii="仿宋_GB2312" w:eastAsia="仿宋_GB2312"/>
          <w:color w:val="000000"/>
          <w:sz w:val="24"/>
          <w:u w:val="none"/>
          <w:lang w:val="en-US" w:eastAsia="zh-CN"/>
        </w:rPr>
      </w:pPr>
    </w:p>
    <w:p w14:paraId="209C43A5">
      <w:pPr>
        <w:pStyle w:val="2"/>
        <w:rPr>
          <w:rFonts w:hint="eastAsia" w:ascii="仿宋_GB2312" w:eastAsia="仿宋_GB2312"/>
          <w:color w:val="000000"/>
          <w:sz w:val="24"/>
          <w:u w:val="none"/>
          <w:lang w:val="en-US" w:eastAsia="zh-CN"/>
        </w:rPr>
      </w:pPr>
    </w:p>
    <w:p w14:paraId="7204BA3B">
      <w:pPr>
        <w:pStyle w:val="2"/>
        <w:rPr>
          <w:rFonts w:hint="eastAsia" w:ascii="仿宋_GB2312" w:eastAsia="仿宋_GB2312"/>
          <w:color w:val="000000"/>
          <w:sz w:val="24"/>
          <w:u w:val="none"/>
          <w:lang w:val="en-US" w:eastAsia="zh-CN"/>
        </w:rPr>
      </w:pPr>
    </w:p>
    <w:p w14:paraId="653470B3">
      <w:pPr>
        <w:pStyle w:val="2"/>
        <w:rPr>
          <w:rFonts w:hint="eastAsia" w:ascii="仿宋_GB2312" w:eastAsia="仿宋_GB2312"/>
          <w:color w:val="000000"/>
          <w:sz w:val="24"/>
          <w:u w:val="none"/>
          <w:lang w:val="en-US" w:eastAsia="zh-CN"/>
        </w:rPr>
      </w:pPr>
    </w:p>
    <w:p w14:paraId="47D323D3">
      <w:pPr>
        <w:jc w:val="center"/>
        <w:rPr>
          <w:rFonts w:ascii="仿宋" w:hAnsi="仿宋" w:eastAsia="仿宋" w:cs="仿宋"/>
          <w:b/>
          <w:bCs/>
          <w:sz w:val="32"/>
          <w:szCs w:val="32"/>
        </w:rPr>
      </w:pPr>
      <w:r>
        <w:rPr>
          <w:rFonts w:hint="eastAsia" w:ascii="仿宋" w:hAnsi="仿宋" w:eastAsia="仿宋" w:cs="仿宋"/>
          <w:b/>
          <w:bCs/>
          <w:sz w:val="40"/>
          <w:szCs w:val="40"/>
          <w:lang w:val="en-US" w:eastAsia="zh-CN"/>
        </w:rPr>
        <w:t xml:space="preserve">第四章 </w:t>
      </w:r>
      <w:r>
        <w:rPr>
          <w:rFonts w:hint="eastAsia" w:ascii="仿宋" w:hAnsi="仿宋" w:eastAsia="仿宋" w:cs="仿宋"/>
          <w:b/>
          <w:bCs/>
          <w:sz w:val="40"/>
          <w:szCs w:val="40"/>
        </w:rPr>
        <w:t>最终报价一览表</w:t>
      </w:r>
    </w:p>
    <w:p w14:paraId="70C10509">
      <w:pPr>
        <w:ind w:firstLine="0" w:firstLineChars="0"/>
        <w:jc w:val="left"/>
        <w:rPr>
          <w:rFonts w:hint="eastAsia" w:ascii="仿宋" w:hAnsi="仿宋" w:eastAsia="仿宋" w:cs="仿宋"/>
          <w:sz w:val="24"/>
          <w:szCs w:val="24"/>
        </w:rPr>
      </w:pPr>
    </w:p>
    <w:p w14:paraId="45DC1EC2">
      <w:pPr>
        <w:ind w:firstLine="0" w:firstLineChars="0"/>
        <w:jc w:val="left"/>
        <w:rPr>
          <w:rFonts w:hint="eastAsia" w:ascii="仿宋" w:hAnsi="仿宋" w:eastAsia="仿宋" w:cs="仿宋"/>
          <w:sz w:val="24"/>
          <w:szCs w:val="24"/>
        </w:rPr>
      </w:pPr>
    </w:p>
    <w:p w14:paraId="79E0F1E5">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项目名称</w:t>
      </w:r>
      <w:r>
        <w:rPr>
          <w:rFonts w:hint="eastAsia" w:ascii="仿宋" w:hAnsi="仿宋" w:eastAsia="仿宋" w:cs="仿宋"/>
          <w:b/>
          <w:bCs/>
          <w:sz w:val="24"/>
          <w:szCs w:val="24"/>
          <w:lang w:val="en-US" w:eastAsia="zh-CN"/>
        </w:rPr>
        <w:t>:</w:t>
      </w:r>
      <w:r>
        <w:rPr>
          <w:rFonts w:hint="eastAsia" w:ascii="仿宋" w:hAnsi="仿宋" w:eastAsia="仿宋" w:cs="仿宋"/>
          <w:b/>
          <w:bCs/>
          <w:sz w:val="24"/>
          <w:szCs w:val="24"/>
        </w:rPr>
        <w:t>万宁市中医院财务审计及内控审计项目</w:t>
      </w:r>
    </w:p>
    <w:p w14:paraId="4C12BD17">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仿宋" w:hAnsi="仿宋" w:eastAsia="仿宋" w:cs="仿宋"/>
          <w:sz w:val="24"/>
          <w:szCs w:val="24"/>
        </w:rPr>
      </w:pPr>
      <w:r>
        <w:rPr>
          <w:rFonts w:hint="eastAsia" w:ascii="仿宋" w:hAnsi="仿宋" w:eastAsia="仿宋" w:cs="仿宋"/>
          <w:b/>
          <w:bCs/>
          <w:sz w:val="24"/>
          <w:szCs w:val="24"/>
          <w:lang w:val="en-US" w:eastAsia="zh-CN"/>
        </w:rPr>
        <w:t>项目编号：WNSZYY2025-CWK-01</w:t>
      </w:r>
      <w:r>
        <w:rPr>
          <w:rFonts w:hint="eastAsia" w:ascii="仿宋" w:hAnsi="仿宋" w:eastAsia="仿宋" w:cs="仿宋"/>
          <w:b/>
          <w:bCs/>
          <w:sz w:val="24"/>
          <w:szCs w:val="24"/>
        </w:rPr>
        <w:t xml:space="preserve">    </w:t>
      </w:r>
      <w:r>
        <w:rPr>
          <w:rFonts w:hint="eastAsia" w:ascii="仿宋" w:hAnsi="仿宋" w:eastAsia="仿宋" w:cs="仿宋"/>
          <w:sz w:val="24"/>
          <w:szCs w:val="24"/>
        </w:rPr>
        <w:t xml:space="preserve">                                   </w:t>
      </w:r>
    </w:p>
    <w:tbl>
      <w:tblPr>
        <w:tblStyle w:val="16"/>
        <w:tblpPr w:leftFromText="180" w:rightFromText="180" w:vertAnchor="text" w:horzAnchor="page" w:tblpX="1305" w:tblpY="286"/>
        <w:tblOverlap w:val="never"/>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1200"/>
        <w:gridCol w:w="5950"/>
      </w:tblGrid>
      <w:tr w14:paraId="456A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trPr>
        <w:tc>
          <w:tcPr>
            <w:tcW w:w="2230" w:type="dxa"/>
            <w:vMerge w:val="restart"/>
            <w:tcBorders>
              <w:top w:val="single" w:color="auto" w:sz="4" w:space="0"/>
              <w:left w:val="single" w:color="auto" w:sz="4" w:space="0"/>
              <w:bottom w:val="single" w:color="auto" w:sz="4" w:space="0"/>
              <w:right w:val="single" w:color="auto" w:sz="4" w:space="0"/>
            </w:tcBorders>
            <w:vAlign w:val="center"/>
          </w:tcPr>
          <w:p w14:paraId="146E5517">
            <w:pPr>
              <w:pStyle w:val="23"/>
              <w:spacing w:line="460" w:lineRule="atLeast"/>
              <w:rPr>
                <w:rFonts w:hint="eastAsia" w:ascii="仿宋" w:hAnsi="仿宋" w:eastAsia="仿宋" w:cs="仿宋"/>
                <w:sz w:val="24"/>
                <w:szCs w:val="24"/>
                <w:lang w:val="en-US" w:eastAsia="zh-CN"/>
              </w:rPr>
            </w:pPr>
          </w:p>
          <w:p w14:paraId="6AE9DC56">
            <w:pPr>
              <w:pStyle w:val="23"/>
              <w:spacing w:line="460" w:lineRule="atLeast"/>
              <w:ind w:firstLine="240" w:firstLineChars="100"/>
              <w:rPr>
                <w:rFonts w:hint="default" w:ascii="仿宋" w:hAnsi="仿宋" w:eastAsia="仿宋" w:cs="仿宋"/>
                <w:sz w:val="24"/>
                <w:szCs w:val="24"/>
              </w:rPr>
            </w:pPr>
            <w:r>
              <w:rPr>
                <w:rFonts w:hint="eastAsia" w:ascii="仿宋" w:hAnsi="仿宋" w:eastAsia="仿宋" w:cs="仿宋"/>
                <w:sz w:val="24"/>
                <w:szCs w:val="24"/>
                <w:lang w:val="en-US" w:eastAsia="zh-CN"/>
              </w:rPr>
              <w:t>最终报价</w:t>
            </w:r>
            <w:r>
              <w:rPr>
                <w:rFonts w:ascii="仿宋" w:hAnsi="仿宋" w:eastAsia="仿宋" w:cs="仿宋"/>
                <w:sz w:val="24"/>
                <w:szCs w:val="24"/>
              </w:rPr>
              <w:t>（元）</w:t>
            </w:r>
          </w:p>
          <w:p w14:paraId="0C2D979A">
            <w:pPr>
              <w:pStyle w:val="23"/>
              <w:spacing w:line="460" w:lineRule="atLeast"/>
              <w:ind w:firstLine="480" w:firstLineChars="200"/>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722486DD">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大写</w:t>
            </w:r>
          </w:p>
        </w:tc>
        <w:tc>
          <w:tcPr>
            <w:tcW w:w="5950" w:type="dxa"/>
            <w:tcBorders>
              <w:top w:val="single" w:color="auto" w:sz="4" w:space="0"/>
              <w:left w:val="single" w:color="auto" w:sz="4" w:space="0"/>
              <w:bottom w:val="single" w:color="auto" w:sz="4" w:space="0"/>
              <w:right w:val="single" w:color="auto" w:sz="4" w:space="0"/>
            </w:tcBorders>
            <w:vAlign w:val="center"/>
          </w:tcPr>
          <w:p w14:paraId="44EA64B3">
            <w:pPr>
              <w:pStyle w:val="23"/>
              <w:spacing w:line="460" w:lineRule="atLeast"/>
              <w:jc w:val="center"/>
              <w:rPr>
                <w:rFonts w:hint="default" w:ascii="仿宋" w:hAnsi="仿宋" w:eastAsia="仿宋" w:cs="仿宋"/>
                <w:sz w:val="24"/>
                <w:szCs w:val="24"/>
              </w:rPr>
            </w:pPr>
          </w:p>
        </w:tc>
      </w:tr>
      <w:tr w14:paraId="68F6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2230" w:type="dxa"/>
            <w:vMerge w:val="continue"/>
            <w:tcBorders>
              <w:top w:val="single" w:color="auto" w:sz="4" w:space="0"/>
              <w:left w:val="single" w:color="auto" w:sz="4" w:space="0"/>
              <w:bottom w:val="single" w:color="auto" w:sz="4" w:space="0"/>
              <w:right w:val="single" w:color="auto" w:sz="4" w:space="0"/>
            </w:tcBorders>
            <w:vAlign w:val="center"/>
          </w:tcPr>
          <w:p w14:paraId="29897C62">
            <w:pPr>
              <w:pStyle w:val="23"/>
              <w:spacing w:line="460" w:lineRule="atLeast"/>
              <w:jc w:val="center"/>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4BA362BA">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小写</w:t>
            </w:r>
          </w:p>
        </w:tc>
        <w:tc>
          <w:tcPr>
            <w:tcW w:w="5950" w:type="dxa"/>
            <w:tcBorders>
              <w:top w:val="single" w:color="auto" w:sz="4" w:space="0"/>
              <w:left w:val="single" w:color="auto" w:sz="4" w:space="0"/>
              <w:bottom w:val="single" w:color="auto" w:sz="4" w:space="0"/>
              <w:right w:val="single" w:color="auto" w:sz="4" w:space="0"/>
            </w:tcBorders>
            <w:vAlign w:val="center"/>
          </w:tcPr>
          <w:p w14:paraId="188FE221">
            <w:pPr>
              <w:pStyle w:val="23"/>
              <w:spacing w:line="460" w:lineRule="atLeast"/>
              <w:jc w:val="center"/>
              <w:rPr>
                <w:rFonts w:hint="default" w:ascii="仿宋" w:hAnsi="仿宋" w:eastAsia="仿宋" w:cs="仿宋"/>
                <w:sz w:val="24"/>
                <w:szCs w:val="24"/>
              </w:rPr>
            </w:pPr>
          </w:p>
        </w:tc>
      </w:tr>
      <w:tr w14:paraId="0EFD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2230" w:type="dxa"/>
            <w:tcBorders>
              <w:top w:val="single" w:color="auto" w:sz="4" w:space="0"/>
              <w:left w:val="single" w:color="auto" w:sz="4" w:space="0"/>
              <w:bottom w:val="single" w:color="auto" w:sz="4" w:space="0"/>
              <w:right w:val="single" w:color="auto" w:sz="4" w:space="0"/>
            </w:tcBorders>
            <w:vAlign w:val="center"/>
          </w:tcPr>
          <w:p w14:paraId="26677ADA">
            <w:pPr>
              <w:pStyle w:val="23"/>
              <w:spacing w:line="460" w:lineRule="atLeast"/>
              <w:ind w:firstLine="480" w:firstLineChars="200"/>
              <w:rPr>
                <w:rFonts w:hint="default" w:ascii="仿宋" w:hAnsi="仿宋" w:eastAsia="仿宋" w:cs="仿宋"/>
                <w:sz w:val="24"/>
                <w:szCs w:val="24"/>
                <w:lang w:val="en-US" w:eastAsia="zh-CN"/>
              </w:rPr>
            </w:pPr>
            <w:r>
              <w:rPr>
                <w:rFonts w:ascii="仿宋" w:hAnsi="仿宋" w:eastAsia="仿宋" w:cs="仿宋"/>
                <w:sz w:val="24"/>
                <w:szCs w:val="24"/>
              </w:rPr>
              <w:t>其他承诺</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4F0B3C70">
            <w:pPr>
              <w:pStyle w:val="23"/>
              <w:spacing w:line="460" w:lineRule="atLeast"/>
              <w:ind w:firstLine="240" w:firstLineChars="100"/>
              <w:rPr>
                <w:rFonts w:hint="default" w:ascii="仿宋" w:hAnsi="仿宋" w:eastAsia="仿宋" w:cs="仿宋"/>
                <w:sz w:val="24"/>
                <w:szCs w:val="24"/>
              </w:rPr>
            </w:pPr>
          </w:p>
        </w:tc>
      </w:tr>
      <w:tr w14:paraId="4EBE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2230" w:type="dxa"/>
            <w:tcBorders>
              <w:top w:val="single" w:color="auto" w:sz="4" w:space="0"/>
              <w:left w:val="single" w:color="auto" w:sz="4" w:space="0"/>
              <w:bottom w:val="single" w:color="auto" w:sz="4" w:space="0"/>
              <w:right w:val="single" w:color="auto" w:sz="4" w:space="0"/>
            </w:tcBorders>
            <w:vAlign w:val="center"/>
          </w:tcPr>
          <w:p w14:paraId="0C3D72C3">
            <w:pPr>
              <w:pStyle w:val="23"/>
              <w:spacing w:line="460" w:lineRule="atLeast"/>
              <w:ind w:firstLine="720" w:firstLineChars="300"/>
              <w:rPr>
                <w:rFonts w:hint="default" w:ascii="仿宋" w:hAnsi="仿宋" w:eastAsia="仿宋" w:cs="仿宋"/>
                <w:sz w:val="24"/>
                <w:szCs w:val="24"/>
              </w:rPr>
            </w:pPr>
            <w:r>
              <w:rPr>
                <w:rFonts w:ascii="仿宋" w:hAnsi="仿宋" w:eastAsia="仿宋" w:cs="仿宋"/>
                <w:sz w:val="24"/>
                <w:szCs w:val="24"/>
              </w:rPr>
              <w:t>备注</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622A5C27">
            <w:pPr>
              <w:rPr>
                <w:rFonts w:ascii="仿宋" w:hAnsi="仿宋" w:eastAsia="仿宋" w:cs="仿宋"/>
                <w:sz w:val="24"/>
                <w:szCs w:val="24"/>
              </w:rPr>
            </w:pPr>
            <w:r>
              <w:rPr>
                <w:rFonts w:hint="eastAsia" w:ascii="仿宋" w:hAnsi="仿宋" w:eastAsia="仿宋" w:cs="仿宋"/>
                <w:sz w:val="24"/>
                <w:szCs w:val="24"/>
              </w:rPr>
              <w:t>注：</w:t>
            </w:r>
          </w:p>
          <w:p w14:paraId="436EB978">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1.本报价应包括</w:t>
            </w:r>
            <w:r>
              <w:rPr>
                <w:rFonts w:hint="eastAsia" w:ascii="仿宋" w:hAnsi="仿宋" w:eastAsia="仿宋" w:cs="仿宋"/>
                <w:sz w:val="24"/>
                <w:szCs w:val="24"/>
                <w:lang w:val="en-US" w:eastAsia="zh-CN"/>
              </w:rPr>
              <w:t>议价</w:t>
            </w:r>
            <w:r>
              <w:rPr>
                <w:rFonts w:hint="eastAsia" w:ascii="仿宋" w:hAnsi="仿宋" w:eastAsia="仿宋" w:cs="仿宋"/>
                <w:sz w:val="24"/>
                <w:szCs w:val="24"/>
              </w:rPr>
              <w:t>文件所规定的</w:t>
            </w:r>
            <w:r>
              <w:rPr>
                <w:rFonts w:hint="eastAsia" w:ascii="仿宋" w:hAnsi="仿宋" w:eastAsia="仿宋" w:cs="仿宋"/>
                <w:sz w:val="24"/>
                <w:szCs w:val="24"/>
                <w:lang w:val="en-US" w:eastAsia="zh-CN"/>
              </w:rPr>
              <w:t>议价</w:t>
            </w:r>
            <w:r>
              <w:rPr>
                <w:rFonts w:hint="eastAsia" w:ascii="仿宋" w:hAnsi="仿宋" w:eastAsia="仿宋" w:cs="仿宋"/>
                <w:sz w:val="24"/>
                <w:szCs w:val="24"/>
              </w:rPr>
              <w:t>范围的全部内容。</w:t>
            </w:r>
          </w:p>
          <w:p w14:paraId="56AD7205">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2.本报价精确到小数点后两位数。</w:t>
            </w:r>
          </w:p>
          <w:p w14:paraId="00E1A7E9">
            <w:pPr>
              <w:pStyle w:val="23"/>
              <w:spacing w:line="460" w:lineRule="atLeast"/>
              <w:rPr>
                <w:rFonts w:hint="default" w:ascii="仿宋" w:hAnsi="仿宋" w:eastAsia="仿宋" w:cs="仿宋"/>
                <w:b/>
                <w:bCs/>
                <w:sz w:val="24"/>
                <w:szCs w:val="24"/>
              </w:rPr>
            </w:pPr>
            <w:r>
              <w:rPr>
                <w:rFonts w:ascii="仿宋" w:hAnsi="仿宋" w:eastAsia="仿宋" w:cs="仿宋"/>
                <w:b/>
                <w:bCs/>
                <w:sz w:val="24"/>
                <w:szCs w:val="24"/>
              </w:rPr>
              <w:t>3.此</w:t>
            </w:r>
            <w:r>
              <w:rPr>
                <w:rFonts w:hint="eastAsia" w:ascii="仿宋" w:hAnsi="仿宋" w:eastAsia="仿宋" w:cs="仿宋"/>
                <w:b/>
                <w:bCs/>
                <w:sz w:val="24"/>
                <w:szCs w:val="24"/>
                <w:lang w:val="en-US" w:eastAsia="zh-CN"/>
              </w:rPr>
              <w:t>最终</w:t>
            </w:r>
            <w:r>
              <w:rPr>
                <w:rFonts w:ascii="仿宋" w:hAnsi="仿宋" w:eastAsia="仿宋" w:cs="仿宋"/>
                <w:b/>
                <w:bCs/>
                <w:sz w:val="24"/>
                <w:szCs w:val="24"/>
              </w:rPr>
              <w:t>报价一览表须单独制作一份，不置于响应文件中，由</w:t>
            </w:r>
            <w:r>
              <w:rPr>
                <w:rFonts w:hint="eastAsia" w:ascii="仿宋" w:hAnsi="仿宋" w:eastAsia="仿宋" w:cs="仿宋"/>
                <w:b/>
                <w:bCs/>
                <w:sz w:val="24"/>
                <w:szCs w:val="24"/>
                <w:lang w:val="en-US" w:eastAsia="zh-CN"/>
              </w:rPr>
              <w:t>议价</w:t>
            </w:r>
            <w:r>
              <w:rPr>
                <w:rFonts w:ascii="仿宋" w:hAnsi="仿宋" w:eastAsia="仿宋" w:cs="仿宋"/>
                <w:b/>
                <w:bCs/>
                <w:sz w:val="24"/>
                <w:szCs w:val="24"/>
              </w:rPr>
              <w:t>代表随身携带，用于现场</w:t>
            </w:r>
            <w:r>
              <w:rPr>
                <w:rFonts w:hint="eastAsia" w:ascii="仿宋" w:hAnsi="仿宋" w:eastAsia="仿宋" w:cs="仿宋"/>
                <w:b/>
                <w:bCs/>
                <w:sz w:val="24"/>
                <w:szCs w:val="24"/>
                <w:lang w:val="en-US" w:eastAsia="zh-CN"/>
              </w:rPr>
              <w:t>议价的</w:t>
            </w:r>
            <w:r>
              <w:rPr>
                <w:rFonts w:ascii="仿宋" w:hAnsi="仿宋" w:eastAsia="仿宋" w:cs="仿宋"/>
                <w:b/>
                <w:bCs/>
                <w:sz w:val="24"/>
                <w:szCs w:val="24"/>
              </w:rPr>
              <w:t>二次报价</w:t>
            </w:r>
            <w:r>
              <w:rPr>
                <w:rFonts w:hint="eastAsia" w:ascii="仿宋" w:hAnsi="仿宋" w:eastAsia="仿宋" w:cs="仿宋"/>
                <w:b/>
                <w:bCs/>
                <w:sz w:val="24"/>
                <w:szCs w:val="24"/>
                <w:lang w:val="en-US" w:eastAsia="zh-CN"/>
              </w:rPr>
              <w:t>(项目总金额报价）</w:t>
            </w:r>
            <w:r>
              <w:rPr>
                <w:rFonts w:ascii="仿宋" w:hAnsi="仿宋" w:eastAsia="仿宋" w:cs="仿宋"/>
                <w:b/>
                <w:bCs/>
                <w:sz w:val="24"/>
                <w:szCs w:val="24"/>
              </w:rPr>
              <w:t>。</w:t>
            </w:r>
          </w:p>
          <w:p w14:paraId="507C234D">
            <w:pPr>
              <w:pStyle w:val="23"/>
              <w:spacing w:line="460" w:lineRule="atLeast"/>
              <w:rPr>
                <w:rFonts w:hint="default" w:ascii="仿宋" w:hAnsi="仿宋" w:eastAsia="仿宋" w:cs="仿宋"/>
                <w:sz w:val="24"/>
                <w:szCs w:val="24"/>
              </w:rPr>
            </w:pPr>
            <w:r>
              <w:rPr>
                <w:rFonts w:ascii="仿宋" w:hAnsi="仿宋" w:eastAsia="仿宋" w:cs="仿宋"/>
                <w:sz w:val="24"/>
                <w:szCs w:val="24"/>
              </w:rPr>
              <w:t>4.大</w:t>
            </w:r>
            <w:r>
              <w:rPr>
                <w:rFonts w:hint="eastAsia" w:ascii="仿宋" w:hAnsi="仿宋" w:eastAsia="仿宋" w:cs="仿宋"/>
                <w:sz w:val="24"/>
                <w:szCs w:val="24"/>
                <w:lang w:val="en-US" w:eastAsia="zh-CN"/>
              </w:rPr>
              <w:t>写</w:t>
            </w:r>
            <w:r>
              <w:rPr>
                <w:rFonts w:ascii="仿宋" w:hAnsi="仿宋" w:eastAsia="仿宋" w:cs="仿宋"/>
                <w:sz w:val="24"/>
                <w:szCs w:val="24"/>
              </w:rPr>
              <w:t>数字：壹、贰、叁、肆、伍、陆、柒、捌、玖、拾、佰、仟、万。</w:t>
            </w:r>
          </w:p>
        </w:tc>
      </w:tr>
    </w:tbl>
    <w:p w14:paraId="67D25C9A">
      <w:pPr>
        <w:pStyle w:val="23"/>
        <w:ind w:firstLine="3600" w:firstLineChars="1500"/>
        <w:rPr>
          <w:rFonts w:hint="default" w:ascii="仿宋" w:hAnsi="仿宋" w:eastAsia="仿宋" w:cs="仿宋"/>
          <w:sz w:val="24"/>
          <w:szCs w:val="24"/>
        </w:rPr>
      </w:pPr>
    </w:p>
    <w:p w14:paraId="2CD41236">
      <w:pPr>
        <w:pStyle w:val="23"/>
        <w:ind w:firstLine="3600" w:firstLineChars="1500"/>
        <w:rPr>
          <w:rFonts w:ascii="仿宋" w:hAnsi="仿宋" w:eastAsia="仿宋" w:cs="仿宋"/>
          <w:sz w:val="24"/>
          <w:szCs w:val="24"/>
        </w:rPr>
      </w:pPr>
    </w:p>
    <w:p w14:paraId="0531079E">
      <w:pPr>
        <w:pStyle w:val="23"/>
        <w:ind w:firstLine="3600" w:firstLineChars="1500"/>
        <w:rPr>
          <w:rFonts w:ascii="仿宋" w:hAnsi="仿宋" w:eastAsia="仿宋" w:cs="仿宋"/>
          <w:sz w:val="24"/>
          <w:szCs w:val="24"/>
        </w:rPr>
      </w:pPr>
    </w:p>
    <w:p w14:paraId="5939E5BC">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供应商全称（加盖公章）： </w:t>
      </w:r>
    </w:p>
    <w:p w14:paraId="51273764">
      <w:pPr>
        <w:pStyle w:val="23"/>
        <w:ind w:firstLine="3600" w:firstLineChars="1500"/>
        <w:rPr>
          <w:rFonts w:ascii="仿宋" w:hAnsi="仿宋" w:eastAsia="仿宋" w:cs="仿宋"/>
          <w:sz w:val="24"/>
          <w:szCs w:val="24"/>
        </w:rPr>
      </w:pPr>
    </w:p>
    <w:p w14:paraId="40A85B7A">
      <w:pPr>
        <w:pStyle w:val="23"/>
        <w:ind w:firstLine="4080" w:firstLineChars="1700"/>
        <w:rPr>
          <w:rFonts w:hint="default" w:ascii="仿宋" w:hAnsi="仿宋" w:eastAsia="仿宋" w:cs="仿宋"/>
          <w:sz w:val="24"/>
          <w:szCs w:val="24"/>
        </w:rPr>
      </w:pPr>
      <w:r>
        <w:rPr>
          <w:rFonts w:ascii="仿宋" w:hAnsi="仿宋" w:eastAsia="仿宋" w:cs="仿宋"/>
          <w:sz w:val="24"/>
          <w:szCs w:val="24"/>
        </w:rPr>
        <w:t>授权代表或法定代表人(签字)</w:t>
      </w:r>
      <w:r>
        <w:rPr>
          <w:rFonts w:hint="eastAsia" w:ascii="仿宋" w:hAnsi="仿宋" w:eastAsia="仿宋" w:cs="仿宋"/>
          <w:sz w:val="24"/>
          <w:szCs w:val="24"/>
          <w:lang w:eastAsia="zh-CN"/>
        </w:rPr>
        <w:t>：</w:t>
      </w:r>
      <w:r>
        <w:rPr>
          <w:rFonts w:ascii="仿宋" w:hAnsi="仿宋" w:eastAsia="仿宋" w:cs="仿宋"/>
          <w:sz w:val="24"/>
          <w:szCs w:val="24"/>
        </w:rPr>
        <w:t xml:space="preserve">    </w:t>
      </w:r>
    </w:p>
    <w:p w14:paraId="42672F5E">
      <w:pPr>
        <w:ind w:firstLine="3600" w:firstLineChars="1500"/>
        <w:rPr>
          <w:rFonts w:hint="eastAsia" w:ascii="仿宋" w:hAnsi="仿宋" w:eastAsia="仿宋" w:cs="仿宋"/>
          <w:sz w:val="24"/>
          <w:szCs w:val="24"/>
        </w:rPr>
      </w:pPr>
    </w:p>
    <w:p w14:paraId="5C43606A">
      <w:pPr>
        <w:ind w:firstLine="4080" w:firstLineChars="1700"/>
        <w:rPr>
          <w:rFonts w:ascii="仿宋" w:hAnsi="仿宋" w:eastAsia="仿宋" w:cs="仿宋"/>
        </w:rPr>
      </w:pPr>
      <w:r>
        <w:rPr>
          <w:rFonts w:hint="eastAsia" w:ascii="仿宋" w:hAnsi="仿宋" w:eastAsia="仿宋" w:cs="仿宋"/>
          <w:sz w:val="24"/>
          <w:szCs w:val="24"/>
        </w:rPr>
        <w:t>日  期：</w:t>
      </w:r>
    </w:p>
    <w:bookmarkEnd w:id="4"/>
    <w:p w14:paraId="2E5403DB">
      <w:pPr>
        <w:pStyle w:val="13"/>
        <w:rPr>
          <w:rFonts w:hint="eastAsia"/>
          <w:lang w:val="zh-CN" w:eastAsia="zh-CN"/>
        </w:rPr>
      </w:pPr>
    </w:p>
    <w:sectPr>
      <w:footerReference r:id="rId5" w:type="default"/>
      <w:pgSz w:w="11906" w:h="16838"/>
      <w:pgMar w:top="1247" w:right="1134" w:bottom="1247" w:left="1134"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9114">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A5AC4">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45FDF65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0FB2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F02DA">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10</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7F02DA">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10</w:t>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680FA"/>
    <w:multiLevelType w:val="singleLevel"/>
    <w:tmpl w:val="DEF680FA"/>
    <w:lvl w:ilvl="0" w:tentative="0">
      <w:start w:val="2"/>
      <w:numFmt w:val="chineseCounting"/>
      <w:suff w:val="space"/>
      <w:lvlText w:val="(%1)"/>
      <w:lvlJc w:val="left"/>
      <w:rPr>
        <w:rFonts w:hint="eastAsia"/>
      </w:rPr>
    </w:lvl>
  </w:abstractNum>
  <w:abstractNum w:abstractNumId="1">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486AB7E"/>
    <w:multiLevelType w:val="singleLevel"/>
    <w:tmpl w:val="1486AB7E"/>
    <w:lvl w:ilvl="0" w:tentative="0">
      <w:start w:val="7"/>
      <w:numFmt w:val="decimal"/>
      <w:suff w:val="nothing"/>
      <w:lvlText w:val="（%1）"/>
      <w:lvlJc w:val="left"/>
    </w:lvl>
  </w:abstractNum>
  <w:abstractNum w:abstractNumId="3">
    <w:nsid w:val="275109C4"/>
    <w:multiLevelType w:val="multilevel"/>
    <w:tmpl w:val="275109C4"/>
    <w:lvl w:ilvl="0" w:tentative="0">
      <w:start w:val="1"/>
      <w:numFmt w:val="chineseCountingThousand"/>
      <w:pStyle w:val="3"/>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YTE4YTg1YWI4N2QxNjE5N2RmNGUxNWIzYjhjZjUifQ=="/>
  </w:docVars>
  <w:rsids>
    <w:rsidRoot w:val="00000000"/>
    <w:rsid w:val="022F45A4"/>
    <w:rsid w:val="038533FE"/>
    <w:rsid w:val="114102DC"/>
    <w:rsid w:val="1B2B7FC9"/>
    <w:rsid w:val="1DC22F46"/>
    <w:rsid w:val="20CD6EAD"/>
    <w:rsid w:val="219B59B4"/>
    <w:rsid w:val="22D60B25"/>
    <w:rsid w:val="2BFC41BB"/>
    <w:rsid w:val="3A9E01FE"/>
    <w:rsid w:val="3B276C5E"/>
    <w:rsid w:val="56EF64C5"/>
    <w:rsid w:val="5D2A163C"/>
    <w:rsid w:val="6C797F6F"/>
    <w:rsid w:val="6CE15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numPr>
        <w:ilvl w:val="0"/>
        <w:numId w:val="1"/>
      </w:numPr>
      <w:spacing w:beforeLines="50" w:afterLines="100"/>
      <w:ind w:firstLine="0" w:firstLineChars="0"/>
      <w:jc w:val="center"/>
      <w:outlineLvl w:val="0"/>
    </w:pPr>
    <w:rPr>
      <w:b/>
      <w:bCs/>
      <w:kern w:val="44"/>
      <w:sz w:val="36"/>
      <w:szCs w:val="44"/>
    </w:rPr>
  </w:style>
  <w:style w:type="paragraph" w:styleId="4">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5">
    <w:name w:val="heading 3"/>
    <w:basedOn w:val="1"/>
    <w:next w:val="6"/>
    <w:qFormat/>
    <w:uiPriority w:val="0"/>
    <w:pPr>
      <w:keepNext/>
      <w:keepLines/>
      <w:autoSpaceDE w:val="0"/>
      <w:autoSpaceDN w:val="0"/>
      <w:adjustRightInd w:val="0"/>
      <w:spacing w:before="360" w:beforeLines="0" w:after="260" w:afterLines="0" w:line="360" w:lineRule="auto"/>
      <w:jc w:val="left"/>
      <w:textAlignment w:val="baseline"/>
      <w:outlineLvl w:val="2"/>
    </w:pPr>
    <w:rPr>
      <w:rFonts w:ascii="宋体" w:hAnsi="Arial"/>
      <w:b/>
      <w:sz w:val="28"/>
      <w:szCs w:val="20"/>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80" w:lineRule="auto"/>
      <w:jc w:val="center"/>
    </w:pPr>
    <w:rPr>
      <w:rFonts w:ascii="宋体" w:hAnsi="Times New Roman" w:eastAsia="宋体" w:cs="Times New Roman"/>
      <w:b/>
      <w:sz w:val="72"/>
      <w:szCs w:val="20"/>
    </w:rPr>
  </w:style>
  <w:style w:type="paragraph" w:styleId="6">
    <w:name w:val="Normal Indent"/>
    <w:basedOn w:val="1"/>
    <w:autoRedefine/>
    <w:qFormat/>
    <w:uiPriority w:val="0"/>
    <w:pPr>
      <w:widowControl/>
      <w:spacing w:line="360" w:lineRule="auto"/>
      <w:ind w:firstLine="420"/>
      <w:jc w:val="left"/>
    </w:pPr>
    <w:rPr>
      <w:rFonts w:ascii="宋体"/>
      <w:kern w:val="0"/>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4"/>
    <w:next w:val="1"/>
    <w:autoRedefine/>
    <w:qFormat/>
    <w:uiPriority w:val="0"/>
    <w:pPr>
      <w:keepNext w:val="0"/>
      <w:keepLines w:val="0"/>
      <w:numPr>
        <w:ilvl w:val="1"/>
        <w:numId w:val="2"/>
      </w:numPr>
      <w:autoSpaceDE/>
      <w:autoSpaceDN/>
      <w:snapToGrid w:val="0"/>
      <w:spacing w:before="624" w:beforeLines="200" w:after="156" w:afterLines="50"/>
      <w:jc w:val="both"/>
      <w:textAlignment w:val="auto"/>
    </w:pPr>
    <w:rPr>
      <w:kern w:val="2"/>
      <w:sz w:val="36"/>
      <w:szCs w:val="36"/>
    </w:rPr>
  </w:style>
  <w:style w:type="paragraph" w:customStyle="1" w:styleId="23">
    <w:name w:val="纯文本4"/>
    <w:basedOn w:val="1"/>
    <w:autoRedefine/>
    <w:qFormat/>
    <w:uiPriority w:val="0"/>
    <w:pPr>
      <w:ind w:firstLine="0" w:firstLineChars="0"/>
    </w:pPr>
    <w:rPr>
      <w:rFonts w:hint="eastAsia" w:hAnsi="Courier New"/>
      <w:sz w:val="21"/>
    </w:rPr>
  </w:style>
  <w:style w:type="character" w:customStyle="1" w:styleId="24">
    <w:name w:val="标题 2 Char"/>
    <w:basedOn w:val="18"/>
    <w:qFormat/>
    <w:uiPriority w:val="0"/>
    <w:rPr>
      <w:rFonts w:ascii="Calibri Light" w:hAnsi="Calibri Light" w:eastAsia="仿宋_GB2312" w:cs="Times New Roman"/>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3606</Words>
  <Characters>3877</Characters>
  <Lines>0</Lines>
  <Paragraphs>0</Paragraphs>
  <TotalTime>24</TotalTime>
  <ScaleCrop>false</ScaleCrop>
  <LinksUpToDate>false</LinksUpToDate>
  <CharactersWithSpaces>4027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清补凉加lu</cp:lastModifiedBy>
  <dcterms:modified xsi:type="dcterms:W3CDTF">2025-12-08T02:07:29Z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20F6276BBACA437691E3C42B2A946236_13</vt:lpwstr>
  </property>
  <property fmtid="{D5CDD505-2E9C-101B-9397-08002B2CF9AE}" pid="4" name="KSOTemplateDocerSaveRecord">
    <vt:lpwstr>eyJoZGlkIjoiZWI0ZGJkMzI5YjY4NjE5MjViODk3OGVkZTc4MTI4N2YiLCJ1c2VySWQiOiI1MjQwMTAxMjkifQ==</vt:lpwstr>
  </property>
</Properties>
</file>